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40" w:lineRule="exact"/>
        <w:jc w:val="both"/>
        <w:textAlignment w:val="auto"/>
        <w:rPr>
          <w:rFonts w:hint="default" w:ascii="仿宋_GB2312" w:hAnsi="仿宋_GB2312" w:eastAsia="仿宋_GB2312" w:cs="仿宋_GB2312"/>
          <w:sz w:val="28"/>
          <w:szCs w:val="28"/>
          <w:u w:val="none"/>
          <w:shd w:val="clear" w:color="auto" w:fill="auto"/>
          <w:lang w:val="en-US" w:eastAsia="zh-CN"/>
        </w:rPr>
      </w:pPr>
      <w:bookmarkStart w:id="0" w:name="_GoBack"/>
      <w:bookmarkEnd w:id="0"/>
      <w:r>
        <w:rPr>
          <w:rFonts w:hint="eastAsia" w:ascii="仿宋_GB2312" w:hAnsi="仿宋_GB2312" w:eastAsia="仿宋_GB2312" w:cs="仿宋_GB2312"/>
          <w:sz w:val="28"/>
          <w:szCs w:val="28"/>
          <w:u w:val="none"/>
          <w:shd w:val="clear" w:color="auto" w:fill="auto"/>
          <w:lang w:val="en-US" w:eastAsia="zh-CN"/>
        </w:rPr>
        <w:t>附件1</w:t>
      </w:r>
    </w:p>
    <w:p>
      <w:pPr>
        <w:pStyle w:val="2"/>
        <w:rPr>
          <w:rFonts w:hint="eastAsia"/>
          <w:lang w:val="en-US" w:eastAsia="zh-CN"/>
        </w:rPr>
      </w:pPr>
    </w:p>
    <w:p>
      <w:pPr>
        <w:keepNext w:val="0"/>
        <w:keepLines w:val="0"/>
        <w:pageBreakBefore w:val="0"/>
        <w:kinsoku/>
        <w:wordWrap/>
        <w:overflowPunct/>
        <w:topLinePunct w:val="0"/>
        <w:bidi w:val="0"/>
        <w:snapToGrid/>
        <w:spacing w:line="540" w:lineRule="exact"/>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骨科创伤类医用耗材联盟采购有关规则</w:t>
      </w:r>
    </w:p>
    <w:p>
      <w:pPr>
        <w:keepNext w:val="0"/>
        <w:keepLines w:val="0"/>
        <w:pageBreakBefore w:val="0"/>
        <w:kinsoku/>
        <w:wordWrap/>
        <w:overflowPunct/>
        <w:topLinePunct w:val="0"/>
        <w:bidi w:val="0"/>
        <w:snapToGrid/>
        <w:spacing w:line="54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u w:val="none"/>
          <w:lang w:val="en-US" w:eastAsia="zh-CN"/>
        </w:rPr>
        <w:t>（公示稿）</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sz w:val="32"/>
          <w:szCs w:val="32"/>
          <w:u w:val="none"/>
          <w:lang w:val="en-US" w:eastAsia="zh-CN"/>
        </w:rPr>
      </w:pPr>
    </w:p>
    <w:p>
      <w:pPr>
        <w:keepNext w:val="0"/>
        <w:keepLines w:val="0"/>
        <w:pageBreakBefore w:val="0"/>
        <w:kinsoku/>
        <w:wordWrap/>
        <w:overflowPunct/>
        <w:topLinePunct w:val="0"/>
        <w:bidi w:val="0"/>
        <w:snapToGrid/>
        <w:spacing w:line="540" w:lineRule="exact"/>
        <w:ind w:firstLine="640" w:firstLineChars="200"/>
        <w:textAlignment w:val="auto"/>
        <w:rPr>
          <w:rFonts w:hint="eastAsia" w:ascii="仿宋" w:hAnsi="仿宋" w:eastAsia="仿宋" w:cs="仿宋"/>
          <w:sz w:val="32"/>
          <w:szCs w:val="32"/>
          <w:u w:val="none"/>
          <w:lang w:val="en-US" w:eastAsia="zh-CN"/>
        </w:rPr>
      </w:pPr>
      <w:r>
        <w:rPr>
          <w:rFonts w:hint="eastAsia" w:ascii="黑体" w:hAnsi="黑体" w:eastAsia="黑体" w:cs="黑体"/>
          <w:sz w:val="32"/>
          <w:szCs w:val="32"/>
          <w:u w:val="none"/>
          <w:lang w:val="en-US" w:eastAsia="zh-CN"/>
        </w:rPr>
        <w:t>一、采购品种与目录划分</w:t>
      </w:r>
    </w:p>
    <w:p>
      <w:pPr>
        <w:keepNext w:val="0"/>
        <w:keepLines w:val="0"/>
        <w:pageBreakBefore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sz w:val="32"/>
          <w:szCs w:val="32"/>
          <w:u w:val="none"/>
          <w:shd w:val="clear" w:color="auto" w:fill="auto"/>
          <w:lang w:val="en-US" w:eastAsia="zh-CN"/>
        </w:rPr>
      </w:pPr>
      <w:r>
        <w:rPr>
          <w:rFonts w:hint="eastAsia" w:ascii="仿宋_GB2312" w:hAnsi="仿宋_GB2312" w:eastAsia="仿宋_GB2312" w:cs="仿宋_GB2312"/>
          <w:sz w:val="32"/>
          <w:szCs w:val="32"/>
          <w:u w:val="none"/>
          <w:lang w:val="en-US" w:eastAsia="zh-CN"/>
        </w:rPr>
        <w:t>本次集中带量采购品种为接骨板及配套螺钉</w:t>
      </w:r>
      <w:r>
        <w:rPr>
          <w:rFonts w:hint="eastAsia" w:ascii="仿宋_GB2312" w:hAnsi="仿宋_GB2312" w:eastAsia="仿宋_GB2312" w:cs="仿宋_GB2312"/>
          <w:sz w:val="32"/>
          <w:szCs w:val="32"/>
          <w:u w:val="none"/>
          <w:shd w:val="clear" w:color="auto" w:fill="auto"/>
          <w:lang w:val="en-US" w:eastAsia="zh-CN"/>
        </w:rPr>
        <w:t>、髓内钉及配件、中空螺钉（空心螺钉）等医用耗材。共分普通接骨板</w:t>
      </w:r>
      <w:r>
        <w:rPr>
          <w:rFonts w:hint="eastAsia" w:ascii="仿宋_GB2312" w:hAnsi="仿宋_GB2312" w:eastAsia="仿宋_GB2312" w:cs="仿宋_GB2312"/>
          <w:sz w:val="32"/>
          <w:szCs w:val="32"/>
          <w:u w:val="none"/>
          <w:lang w:val="en-US" w:eastAsia="zh-CN"/>
        </w:rPr>
        <w:t>及配套螺钉</w:t>
      </w:r>
      <w:r>
        <w:rPr>
          <w:rFonts w:hint="eastAsia" w:ascii="仿宋_GB2312" w:hAnsi="仿宋_GB2312" w:eastAsia="仿宋_GB2312" w:cs="仿宋_GB2312"/>
          <w:sz w:val="32"/>
          <w:szCs w:val="32"/>
          <w:u w:val="none"/>
          <w:shd w:val="clear" w:color="auto" w:fill="auto"/>
          <w:lang w:val="en-US" w:eastAsia="zh-CN"/>
        </w:rPr>
        <w:t>、锁定加压接骨板</w:t>
      </w:r>
      <w:r>
        <w:rPr>
          <w:rFonts w:hint="eastAsia" w:ascii="仿宋_GB2312" w:hAnsi="仿宋_GB2312" w:eastAsia="仿宋_GB2312" w:cs="仿宋_GB2312"/>
          <w:sz w:val="32"/>
          <w:szCs w:val="32"/>
          <w:u w:val="none"/>
          <w:lang w:val="en-US" w:eastAsia="zh-CN"/>
        </w:rPr>
        <w:t>及配套螺钉</w:t>
      </w:r>
      <w:r>
        <w:rPr>
          <w:rFonts w:hint="eastAsia" w:ascii="仿宋_GB2312" w:hAnsi="仿宋_GB2312" w:eastAsia="仿宋_GB2312" w:cs="仿宋_GB2312"/>
          <w:sz w:val="32"/>
          <w:szCs w:val="32"/>
          <w:u w:val="none"/>
          <w:shd w:val="clear" w:color="auto" w:fill="auto"/>
          <w:lang w:val="en-US" w:eastAsia="zh-CN"/>
        </w:rPr>
        <w:t>和髓内钉及配件三个采购包。参与联盟采购的省（区、市）所有公立医疗机构和其他自愿参加的医保定点社会办医疗机构参考2019年、2020年采购数据，合理填报采购周期内总需求量，按照总需求量的70%确定约定采购量。具体目录如下：</w:t>
      </w:r>
    </w:p>
    <w:p>
      <w:pPr>
        <w:keepNext w:val="0"/>
        <w:keepLines w:val="0"/>
        <w:pageBreakBefore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采购包一：普通接骨板及配套螺钉</w:t>
      </w:r>
    </w:p>
    <w:tbl>
      <w:tblPr>
        <w:tblStyle w:val="9"/>
        <w:tblW w:w="8598" w:type="dxa"/>
        <w:jc w:val="center"/>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39"/>
        <w:gridCol w:w="1473"/>
        <w:gridCol w:w="2944"/>
        <w:gridCol w:w="1473"/>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39" w:type="dxa"/>
            <w:tcMar>
              <w:top w:w="12" w:type="dxa"/>
              <w:left w:w="12" w:type="dxa"/>
              <w:right w:w="12" w:type="dxa"/>
            </w:tcMar>
            <w:vAlign w:val="center"/>
          </w:tcPr>
          <w:p>
            <w:pPr>
              <w:spacing w:line="360" w:lineRule="exact"/>
              <w:jc w:val="center"/>
              <w:textAlignment w:val="center"/>
              <w:rPr>
                <w:rFonts w:hint="eastAsia" w:ascii="仿宋" w:hAnsi="仿宋" w:eastAsia="仿宋" w:cs="仿宋"/>
                <w:b/>
                <w:bCs/>
                <w:color w:val="000000"/>
                <w:sz w:val="22"/>
                <w:szCs w:val="22"/>
                <w:u w:val="none"/>
                <w:lang w:val="en-US" w:eastAsia="zh-CN"/>
              </w:rPr>
            </w:pPr>
            <w:r>
              <w:rPr>
                <w:rFonts w:hint="eastAsia" w:ascii="仿宋" w:hAnsi="仿宋" w:eastAsia="仿宋" w:cs="仿宋"/>
                <w:b/>
                <w:bCs/>
                <w:color w:val="000000"/>
                <w:sz w:val="22"/>
                <w:szCs w:val="22"/>
                <w:u w:val="none"/>
                <w:lang w:val="en-US" w:eastAsia="zh-CN"/>
              </w:rPr>
              <w:t>一级目录</w:t>
            </w:r>
          </w:p>
        </w:tc>
        <w:tc>
          <w:tcPr>
            <w:tcW w:w="1473" w:type="dxa"/>
            <w:tcMar>
              <w:top w:w="12" w:type="dxa"/>
              <w:left w:w="12" w:type="dxa"/>
              <w:right w:w="12" w:type="dxa"/>
            </w:tcMar>
            <w:vAlign w:val="center"/>
          </w:tcPr>
          <w:p>
            <w:pPr>
              <w:spacing w:line="360" w:lineRule="exact"/>
              <w:jc w:val="center"/>
              <w:textAlignment w:val="center"/>
              <w:rPr>
                <w:rFonts w:hint="eastAsia" w:ascii="仿宋" w:hAnsi="仿宋" w:eastAsia="仿宋" w:cs="仿宋"/>
                <w:b/>
                <w:bCs/>
                <w:color w:val="000000"/>
                <w:sz w:val="22"/>
                <w:szCs w:val="22"/>
                <w:u w:val="none"/>
                <w:lang w:val="en-US" w:eastAsia="zh-CN"/>
              </w:rPr>
            </w:pPr>
            <w:r>
              <w:rPr>
                <w:rFonts w:hint="eastAsia" w:ascii="仿宋" w:hAnsi="仿宋" w:eastAsia="仿宋" w:cs="仿宋"/>
                <w:b/>
                <w:bCs/>
                <w:color w:val="000000"/>
                <w:sz w:val="22"/>
                <w:szCs w:val="22"/>
                <w:u w:val="none"/>
                <w:lang w:val="en-US" w:eastAsia="zh-CN"/>
              </w:rPr>
              <w:t>二级目录</w:t>
            </w:r>
          </w:p>
        </w:tc>
        <w:tc>
          <w:tcPr>
            <w:tcW w:w="2944" w:type="dxa"/>
            <w:tcMar>
              <w:top w:w="12" w:type="dxa"/>
              <w:left w:w="12" w:type="dxa"/>
              <w:right w:w="12" w:type="dxa"/>
            </w:tcMar>
            <w:vAlign w:val="center"/>
          </w:tcPr>
          <w:p>
            <w:pPr>
              <w:spacing w:line="360" w:lineRule="exact"/>
              <w:jc w:val="center"/>
              <w:textAlignment w:val="center"/>
              <w:rPr>
                <w:rFonts w:hint="eastAsia" w:ascii="仿宋" w:hAnsi="仿宋" w:eastAsia="仿宋" w:cs="仿宋"/>
                <w:b/>
                <w:bCs/>
                <w:color w:val="000000"/>
                <w:sz w:val="22"/>
                <w:szCs w:val="22"/>
                <w:u w:val="none"/>
                <w:lang w:val="en-US" w:eastAsia="zh-CN"/>
              </w:rPr>
            </w:pPr>
            <w:r>
              <w:rPr>
                <w:rFonts w:hint="eastAsia" w:ascii="仿宋" w:hAnsi="仿宋" w:eastAsia="仿宋" w:cs="仿宋"/>
                <w:b/>
                <w:bCs/>
                <w:i w:val="0"/>
                <w:color w:val="000000"/>
                <w:kern w:val="0"/>
                <w:sz w:val="22"/>
                <w:szCs w:val="22"/>
                <w:u w:val="none"/>
                <w:lang w:val="en-US" w:eastAsia="zh-CN" w:bidi="ar"/>
              </w:rPr>
              <w:t>三级目录</w:t>
            </w:r>
          </w:p>
        </w:tc>
        <w:tc>
          <w:tcPr>
            <w:tcW w:w="1473" w:type="dxa"/>
            <w:tcMar>
              <w:top w:w="12" w:type="dxa"/>
              <w:left w:w="12" w:type="dxa"/>
              <w:right w:w="12" w:type="dxa"/>
            </w:tcMar>
            <w:vAlign w:val="center"/>
          </w:tcPr>
          <w:p>
            <w:pPr>
              <w:spacing w:line="360" w:lineRule="exact"/>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材质</w:t>
            </w:r>
          </w:p>
        </w:tc>
        <w:tc>
          <w:tcPr>
            <w:tcW w:w="1269" w:type="dxa"/>
            <w:tcMar>
              <w:top w:w="12" w:type="dxa"/>
              <w:left w:w="12" w:type="dxa"/>
              <w:right w:w="12" w:type="dxa"/>
            </w:tcMar>
            <w:vAlign w:val="center"/>
          </w:tcPr>
          <w:p>
            <w:pPr>
              <w:spacing w:line="360" w:lineRule="exact"/>
              <w:jc w:val="center"/>
              <w:textAlignment w:val="center"/>
              <w:rPr>
                <w:rFonts w:hint="eastAsia" w:ascii="仿宋" w:hAnsi="仿宋" w:eastAsia="仿宋" w:cs="仿宋"/>
                <w:b/>
                <w:bCs/>
                <w:color w:val="000000"/>
                <w:kern w:val="0"/>
                <w:sz w:val="22"/>
                <w:szCs w:val="22"/>
                <w:u w:val="none"/>
                <w:lang w:val="en-US" w:eastAsia="zh-CN" w:bidi="ar"/>
              </w:rPr>
            </w:pPr>
            <w:r>
              <w:rPr>
                <w:rFonts w:hint="eastAsia" w:ascii="仿宋" w:hAnsi="仿宋" w:eastAsia="仿宋" w:cs="仿宋"/>
                <w:b/>
                <w:bCs/>
                <w:color w:val="000000"/>
                <w:kern w:val="0"/>
                <w:sz w:val="22"/>
                <w:szCs w:val="22"/>
                <w:u w:val="none"/>
                <w:lang w:val="en-US" w:eastAsia="zh-CN" w:bidi="ar"/>
              </w:rPr>
              <w:t>约定采购量</w:t>
            </w:r>
          </w:p>
          <w:p>
            <w:pPr>
              <w:spacing w:line="360" w:lineRule="exact"/>
              <w:jc w:val="center"/>
              <w:textAlignment w:val="center"/>
              <w:rPr>
                <w:rFonts w:hint="eastAsia" w:ascii="仿宋" w:hAnsi="仿宋" w:eastAsia="仿宋" w:cs="仿宋"/>
                <w:b/>
                <w:bCs/>
                <w:color w:val="000000"/>
                <w:kern w:val="0"/>
                <w:sz w:val="22"/>
                <w:szCs w:val="22"/>
                <w:u w:val="none"/>
                <w:lang w:val="en-US" w:eastAsia="zh-CN" w:bidi="ar"/>
              </w:rPr>
            </w:pPr>
            <w:r>
              <w:rPr>
                <w:rFonts w:hint="eastAsia" w:ascii="仿宋" w:hAnsi="仿宋" w:eastAsia="仿宋" w:cs="仿宋"/>
                <w:b/>
                <w:bCs/>
                <w:color w:val="000000"/>
                <w:kern w:val="0"/>
                <w:sz w:val="22"/>
                <w:szCs w:val="22"/>
                <w:u w:val="none"/>
                <w:lang w:val="en-US" w:eastAsia="zh-CN" w:bidi="ar"/>
              </w:rPr>
              <w:t>（块/枚）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39" w:type="dxa"/>
            <w:vMerge w:val="restart"/>
            <w:tcMar>
              <w:top w:w="12" w:type="dxa"/>
              <w:left w:w="12" w:type="dxa"/>
              <w:right w:w="12" w:type="dxa"/>
            </w:tcMar>
            <w:vAlign w:val="center"/>
          </w:tcPr>
          <w:p>
            <w:pPr>
              <w:spacing w:line="350" w:lineRule="exact"/>
              <w:jc w:val="center"/>
              <w:textAlignment w:val="center"/>
              <w:rPr>
                <w:rFonts w:hint="default"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普通接骨板</w:t>
            </w: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锁骨接骨板</w:t>
            </w:r>
          </w:p>
        </w:tc>
        <w:tc>
          <w:tcPr>
            <w:tcW w:w="2944"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bidi="ar"/>
              </w:rPr>
              <w:t>近端/干部/远端</w:t>
            </w: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269"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39"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肱骨接骨板</w:t>
            </w:r>
          </w:p>
        </w:tc>
        <w:tc>
          <w:tcPr>
            <w:tcW w:w="2944"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近端/干部/远端</w:t>
            </w: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269"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39"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尺骨接骨板</w:t>
            </w:r>
          </w:p>
        </w:tc>
        <w:tc>
          <w:tcPr>
            <w:tcW w:w="2944"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近端/干部/远端</w:t>
            </w: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269"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39"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桡骨接骨板</w:t>
            </w:r>
          </w:p>
        </w:tc>
        <w:tc>
          <w:tcPr>
            <w:tcW w:w="2944"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近端/干部/远端</w:t>
            </w: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269"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39"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手部接骨板</w:t>
            </w:r>
          </w:p>
        </w:tc>
        <w:tc>
          <w:tcPr>
            <w:tcW w:w="2944"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腕骨/掌骨头部/掌骨基底部/掌骨干部/指骨头部/指骨干部/指骨基底部</w:t>
            </w: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269"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39"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骨盆接骨板</w:t>
            </w:r>
          </w:p>
        </w:tc>
        <w:tc>
          <w:tcPr>
            <w:tcW w:w="2944"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直</w:t>
            </w:r>
            <w:r>
              <w:rPr>
                <w:rFonts w:hint="eastAsia" w:ascii="仿宋_GB2312" w:hAnsi="仿宋_GB2312" w:eastAsia="仿宋_GB2312" w:cs="仿宋_GB2312"/>
                <w:color w:val="000000"/>
                <w:kern w:val="0"/>
                <w:sz w:val="22"/>
                <w:szCs w:val="22"/>
                <w:u w:val="none"/>
                <w:lang w:eastAsia="zh-CN" w:bidi="ar"/>
              </w:rPr>
              <w:t>形</w:t>
            </w:r>
            <w:r>
              <w:rPr>
                <w:rFonts w:hint="eastAsia" w:ascii="仿宋_GB2312" w:hAnsi="仿宋_GB2312" w:eastAsia="仿宋_GB2312" w:cs="仿宋_GB2312"/>
                <w:color w:val="000000"/>
                <w:kern w:val="0"/>
                <w:sz w:val="22"/>
                <w:szCs w:val="22"/>
                <w:u w:val="none"/>
                <w:lang w:bidi="ar"/>
              </w:rPr>
              <w:t>/弧</w:t>
            </w:r>
            <w:r>
              <w:rPr>
                <w:rFonts w:hint="eastAsia" w:ascii="仿宋_GB2312" w:hAnsi="仿宋_GB2312" w:eastAsia="仿宋_GB2312" w:cs="仿宋_GB2312"/>
                <w:color w:val="000000"/>
                <w:kern w:val="0"/>
                <w:sz w:val="22"/>
                <w:szCs w:val="22"/>
                <w:u w:val="none"/>
                <w:lang w:eastAsia="zh-CN" w:bidi="ar"/>
              </w:rPr>
              <w:t>形</w:t>
            </w:r>
            <w:r>
              <w:rPr>
                <w:rFonts w:hint="eastAsia" w:ascii="仿宋_GB2312" w:hAnsi="仿宋_GB2312" w:eastAsia="仿宋_GB2312" w:cs="仿宋_GB2312"/>
                <w:color w:val="000000"/>
                <w:kern w:val="0"/>
                <w:sz w:val="22"/>
                <w:szCs w:val="22"/>
                <w:u w:val="none"/>
                <w:lang w:bidi="ar"/>
              </w:rPr>
              <w:t>/解剖</w:t>
            </w:r>
            <w:r>
              <w:rPr>
                <w:rFonts w:hint="eastAsia" w:ascii="仿宋_GB2312" w:hAnsi="仿宋_GB2312" w:eastAsia="仿宋_GB2312" w:cs="仿宋_GB2312"/>
                <w:color w:val="000000"/>
                <w:kern w:val="0"/>
                <w:sz w:val="22"/>
                <w:szCs w:val="22"/>
                <w:u w:val="none"/>
                <w:lang w:eastAsia="zh-CN" w:bidi="ar"/>
              </w:rPr>
              <w:t>形</w:t>
            </w:r>
            <w:r>
              <w:rPr>
                <w:rFonts w:hint="eastAsia" w:ascii="仿宋_GB2312" w:hAnsi="仿宋_GB2312" w:eastAsia="仿宋_GB2312" w:cs="仿宋_GB2312"/>
                <w:color w:val="000000"/>
                <w:kern w:val="0"/>
                <w:sz w:val="22"/>
                <w:szCs w:val="22"/>
                <w:u w:val="none"/>
                <w:lang w:bidi="ar"/>
              </w:rPr>
              <w:t>/耻骨</w:t>
            </w:r>
            <w:r>
              <w:rPr>
                <w:rFonts w:hint="eastAsia" w:ascii="仿宋_GB2312" w:hAnsi="仿宋_GB2312" w:eastAsia="仿宋_GB2312" w:cs="仿宋_GB2312"/>
                <w:color w:val="000000"/>
                <w:kern w:val="0"/>
                <w:sz w:val="22"/>
                <w:szCs w:val="22"/>
                <w:u w:val="none"/>
                <w:lang w:eastAsia="zh-CN" w:bidi="ar"/>
              </w:rPr>
              <w:t>形</w:t>
            </w: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269"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39"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股骨接骨板</w:t>
            </w:r>
          </w:p>
        </w:tc>
        <w:tc>
          <w:tcPr>
            <w:tcW w:w="2944"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近端/干部/远端</w:t>
            </w: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269"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39"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髌骨接骨板</w:t>
            </w:r>
          </w:p>
        </w:tc>
        <w:tc>
          <w:tcPr>
            <w:tcW w:w="2944"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w:t>
            </w: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269"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39"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胫骨接骨板</w:t>
            </w:r>
          </w:p>
        </w:tc>
        <w:tc>
          <w:tcPr>
            <w:tcW w:w="2944"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近端/干部/远端</w:t>
            </w: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269"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39"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腓骨接骨板</w:t>
            </w:r>
          </w:p>
        </w:tc>
        <w:tc>
          <w:tcPr>
            <w:tcW w:w="2944"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近端/干部/远端</w:t>
            </w: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269"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39"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跟骨接骨板</w:t>
            </w:r>
          </w:p>
        </w:tc>
        <w:tc>
          <w:tcPr>
            <w:tcW w:w="2944"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w:t>
            </w: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269"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39"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足部接骨板</w:t>
            </w:r>
          </w:p>
        </w:tc>
        <w:tc>
          <w:tcPr>
            <w:tcW w:w="2944"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前足/中足/后足</w:t>
            </w: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269"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39"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通用接骨板</w:t>
            </w:r>
          </w:p>
        </w:tc>
        <w:tc>
          <w:tcPr>
            <w:tcW w:w="2944"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直</w:t>
            </w:r>
            <w:r>
              <w:rPr>
                <w:rFonts w:hint="eastAsia" w:ascii="仿宋_GB2312" w:hAnsi="仿宋_GB2312" w:eastAsia="仿宋_GB2312" w:cs="仿宋_GB2312"/>
                <w:color w:val="000000"/>
                <w:kern w:val="0"/>
                <w:sz w:val="22"/>
                <w:szCs w:val="22"/>
                <w:u w:val="none"/>
                <w:lang w:eastAsia="zh-CN" w:bidi="ar"/>
              </w:rPr>
              <w:t>形</w:t>
            </w:r>
            <w:r>
              <w:rPr>
                <w:rFonts w:hint="eastAsia" w:ascii="仿宋_GB2312" w:hAnsi="仿宋_GB2312" w:eastAsia="仿宋_GB2312" w:cs="仿宋_GB2312"/>
                <w:color w:val="000000"/>
                <w:kern w:val="0"/>
                <w:sz w:val="22"/>
                <w:szCs w:val="22"/>
                <w:u w:val="none"/>
                <w:lang w:bidi="ar"/>
              </w:rPr>
              <w:t>/弧</w:t>
            </w:r>
            <w:r>
              <w:rPr>
                <w:rFonts w:hint="eastAsia" w:ascii="仿宋_GB2312" w:hAnsi="仿宋_GB2312" w:eastAsia="仿宋_GB2312" w:cs="仿宋_GB2312"/>
                <w:color w:val="000000"/>
                <w:kern w:val="0"/>
                <w:sz w:val="22"/>
                <w:szCs w:val="22"/>
                <w:u w:val="none"/>
                <w:lang w:eastAsia="zh-CN" w:bidi="ar"/>
              </w:rPr>
              <w:t>形</w:t>
            </w:r>
            <w:r>
              <w:rPr>
                <w:rFonts w:hint="eastAsia" w:ascii="仿宋_GB2312" w:hAnsi="仿宋_GB2312" w:eastAsia="仿宋_GB2312" w:cs="仿宋_GB2312"/>
                <w:color w:val="000000"/>
                <w:kern w:val="0"/>
                <w:sz w:val="22"/>
                <w:szCs w:val="22"/>
                <w:u w:val="none"/>
                <w:lang w:bidi="ar"/>
              </w:rPr>
              <w:t>/管</w:t>
            </w:r>
            <w:r>
              <w:rPr>
                <w:rFonts w:hint="eastAsia" w:ascii="仿宋_GB2312" w:hAnsi="仿宋_GB2312" w:eastAsia="仿宋_GB2312" w:cs="仿宋_GB2312"/>
                <w:color w:val="000000"/>
                <w:kern w:val="0"/>
                <w:sz w:val="22"/>
                <w:szCs w:val="22"/>
                <w:u w:val="none"/>
                <w:lang w:eastAsia="zh-CN" w:bidi="ar"/>
              </w:rPr>
              <w:t>形</w:t>
            </w:r>
            <w:r>
              <w:rPr>
                <w:rFonts w:hint="eastAsia" w:ascii="仿宋_GB2312" w:hAnsi="仿宋_GB2312" w:eastAsia="仿宋_GB2312" w:cs="仿宋_GB2312"/>
                <w:color w:val="000000"/>
                <w:kern w:val="0"/>
                <w:sz w:val="22"/>
                <w:szCs w:val="22"/>
                <w:u w:val="none"/>
                <w:lang w:bidi="ar"/>
              </w:rPr>
              <w:t>/钩</w:t>
            </w:r>
            <w:r>
              <w:rPr>
                <w:rFonts w:hint="eastAsia" w:ascii="仿宋_GB2312" w:hAnsi="仿宋_GB2312" w:eastAsia="仿宋_GB2312" w:cs="仿宋_GB2312"/>
                <w:color w:val="000000"/>
                <w:kern w:val="0"/>
                <w:sz w:val="22"/>
                <w:szCs w:val="22"/>
                <w:u w:val="none"/>
                <w:lang w:eastAsia="zh-CN" w:bidi="ar"/>
              </w:rPr>
              <w:t>形</w:t>
            </w:r>
            <w:r>
              <w:rPr>
                <w:rFonts w:hint="eastAsia" w:ascii="仿宋_GB2312" w:hAnsi="仿宋_GB2312" w:eastAsia="仿宋_GB2312" w:cs="仿宋_GB2312"/>
                <w:color w:val="000000"/>
                <w:kern w:val="0"/>
                <w:sz w:val="22"/>
                <w:szCs w:val="22"/>
                <w:u w:val="none"/>
                <w:lang w:bidi="ar"/>
              </w:rPr>
              <w:t>/异</w:t>
            </w:r>
            <w:r>
              <w:rPr>
                <w:rFonts w:hint="eastAsia" w:ascii="仿宋_GB2312" w:hAnsi="仿宋_GB2312" w:eastAsia="仿宋_GB2312" w:cs="仿宋_GB2312"/>
                <w:color w:val="000000"/>
                <w:kern w:val="0"/>
                <w:sz w:val="22"/>
                <w:szCs w:val="22"/>
                <w:u w:val="none"/>
                <w:lang w:eastAsia="zh-CN" w:bidi="ar"/>
              </w:rPr>
              <w:t>形</w:t>
            </w: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269"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598" w:type="dxa"/>
            <w:gridSpan w:val="5"/>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39" w:type="dxa"/>
            <w:vMerge w:val="restart"/>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普通接骨螺钉</w:t>
            </w: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皮质骨螺钉</w:t>
            </w:r>
          </w:p>
        </w:tc>
        <w:tc>
          <w:tcPr>
            <w:tcW w:w="2944"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bidi="ar"/>
              </w:rPr>
              <w:t>/</w:t>
            </w: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269"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39"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松质骨螺钉</w:t>
            </w:r>
          </w:p>
        </w:tc>
        <w:tc>
          <w:tcPr>
            <w:tcW w:w="2944"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bidi="ar"/>
              </w:rPr>
              <w:t>/</w:t>
            </w:r>
          </w:p>
        </w:tc>
        <w:tc>
          <w:tcPr>
            <w:tcW w:w="1473"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269"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bl>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仿宋" w:hAnsi="仿宋" w:eastAsia="仿宋" w:cs="仿宋"/>
          <w:color w:val="000000"/>
          <w:kern w:val="0"/>
          <w:sz w:val="31"/>
          <w:szCs w:val="31"/>
          <w:u w:val="none"/>
          <w:lang w:val="en-US" w:eastAsia="zh-CN" w:bidi="ar"/>
        </w:rPr>
      </w:pPr>
      <w:r>
        <w:rPr>
          <w:rFonts w:hint="eastAsia" w:ascii="仿宋_GB2312" w:hAnsi="仿宋_GB2312" w:eastAsia="仿宋_GB2312" w:cs="仿宋_GB2312"/>
          <w:u w:val="none"/>
          <w:lang w:val="en-US" w:eastAsia="zh-CN"/>
        </w:rPr>
        <w:t>注：接骨板与其配套螺钉组成系统，成套</w:t>
      </w:r>
      <w:r>
        <w:rPr>
          <w:rFonts w:hint="eastAsia" w:ascii="仿宋_GB2312" w:hAnsi="仿宋_GB2312" w:eastAsia="仿宋_GB2312" w:cs="仿宋_GB2312"/>
          <w:u w:val="none"/>
          <w:shd w:val="clear" w:color="auto" w:fill="auto"/>
          <w:lang w:val="en-US" w:eastAsia="zh-CN"/>
        </w:rPr>
        <w:t>使用，配套螺钉不再单独收费</w:t>
      </w:r>
      <w:r>
        <w:rPr>
          <w:rFonts w:hint="eastAsia" w:ascii="仿宋_GB2312" w:hAnsi="仿宋_GB2312" w:eastAsia="仿宋_GB2312" w:cs="仿宋_GB2312"/>
          <w:u w:val="none"/>
          <w:lang w:val="en-US" w:eastAsia="zh-CN"/>
        </w:rPr>
        <w:t>。企业须提供满足接骨板临床使用的所有螺钉。</w:t>
      </w:r>
    </w:p>
    <w:p>
      <w:pPr>
        <w:pStyle w:val="2"/>
        <w:rPr>
          <w:rFonts w:hint="eastAsia"/>
          <w:u w:val="none"/>
          <w:lang w:val="en-US" w:eastAsia="zh-CN"/>
        </w:rPr>
      </w:pPr>
    </w:p>
    <w:p>
      <w:pPr>
        <w:keepNext w:val="0"/>
        <w:keepLines w:val="0"/>
        <w:pageBreakBefore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采购包二：锁定加压接骨板及配套螺钉</w:t>
      </w:r>
    </w:p>
    <w:tbl>
      <w:tblPr>
        <w:tblStyle w:val="9"/>
        <w:tblW w:w="8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41"/>
        <w:gridCol w:w="1902"/>
        <w:gridCol w:w="2529"/>
        <w:gridCol w:w="1596"/>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tcMar>
              <w:top w:w="12" w:type="dxa"/>
              <w:left w:w="12" w:type="dxa"/>
              <w:right w:w="12" w:type="dxa"/>
            </w:tcMar>
            <w:vAlign w:val="center"/>
          </w:tcPr>
          <w:p>
            <w:pPr>
              <w:spacing w:line="360" w:lineRule="exact"/>
              <w:jc w:val="center"/>
              <w:textAlignment w:val="center"/>
              <w:rPr>
                <w:rFonts w:hint="default" w:ascii="仿宋" w:hAnsi="仿宋" w:eastAsia="仿宋" w:cs="仿宋"/>
                <w:b/>
                <w:bCs/>
                <w:color w:val="000000"/>
                <w:sz w:val="22"/>
                <w:szCs w:val="22"/>
                <w:u w:val="none"/>
                <w:lang w:val="en-US" w:eastAsia="zh-CN"/>
              </w:rPr>
            </w:pPr>
            <w:r>
              <w:rPr>
                <w:rFonts w:hint="eastAsia" w:ascii="仿宋" w:hAnsi="仿宋" w:eastAsia="仿宋" w:cs="仿宋"/>
                <w:b/>
                <w:bCs/>
                <w:color w:val="000000"/>
                <w:sz w:val="22"/>
                <w:szCs w:val="22"/>
                <w:u w:val="none"/>
                <w:lang w:val="en-US" w:eastAsia="zh-CN"/>
              </w:rPr>
              <w:t>一级目录</w:t>
            </w:r>
          </w:p>
        </w:tc>
        <w:tc>
          <w:tcPr>
            <w:tcW w:w="1902" w:type="dxa"/>
            <w:tcMar>
              <w:top w:w="12" w:type="dxa"/>
              <w:left w:w="12" w:type="dxa"/>
              <w:right w:w="12" w:type="dxa"/>
            </w:tcMar>
            <w:vAlign w:val="center"/>
          </w:tcPr>
          <w:p>
            <w:pPr>
              <w:spacing w:line="360" w:lineRule="exact"/>
              <w:jc w:val="center"/>
              <w:textAlignment w:val="center"/>
              <w:rPr>
                <w:rFonts w:hint="default" w:ascii="仿宋" w:hAnsi="仿宋" w:eastAsia="仿宋" w:cs="仿宋"/>
                <w:b/>
                <w:bCs/>
                <w:color w:val="000000"/>
                <w:sz w:val="22"/>
                <w:szCs w:val="22"/>
                <w:u w:val="none"/>
                <w:lang w:val="en-US" w:eastAsia="zh-CN"/>
              </w:rPr>
            </w:pPr>
            <w:r>
              <w:rPr>
                <w:rFonts w:hint="eastAsia" w:ascii="仿宋" w:hAnsi="仿宋" w:eastAsia="仿宋" w:cs="仿宋"/>
                <w:b/>
                <w:bCs/>
                <w:color w:val="000000"/>
                <w:sz w:val="22"/>
                <w:szCs w:val="22"/>
                <w:u w:val="none"/>
                <w:lang w:val="en-US" w:eastAsia="zh-CN"/>
              </w:rPr>
              <w:t>二级目录</w:t>
            </w:r>
          </w:p>
        </w:tc>
        <w:tc>
          <w:tcPr>
            <w:tcW w:w="2529" w:type="dxa"/>
            <w:tcMar>
              <w:top w:w="12" w:type="dxa"/>
              <w:left w:w="12" w:type="dxa"/>
              <w:right w:w="12" w:type="dxa"/>
            </w:tcMar>
            <w:vAlign w:val="center"/>
          </w:tcPr>
          <w:p>
            <w:pPr>
              <w:spacing w:line="360" w:lineRule="exact"/>
              <w:jc w:val="center"/>
              <w:textAlignment w:val="center"/>
              <w:rPr>
                <w:rFonts w:hint="default" w:ascii="仿宋" w:hAnsi="仿宋" w:eastAsia="仿宋" w:cs="仿宋"/>
                <w:b/>
                <w:bCs/>
                <w:color w:val="000000"/>
                <w:sz w:val="22"/>
                <w:szCs w:val="22"/>
                <w:u w:val="none"/>
                <w:lang w:val="en-US" w:eastAsia="zh-CN"/>
              </w:rPr>
            </w:pPr>
            <w:r>
              <w:rPr>
                <w:rFonts w:hint="eastAsia" w:ascii="仿宋" w:hAnsi="仿宋" w:eastAsia="仿宋" w:cs="仿宋"/>
                <w:b/>
                <w:bCs/>
                <w:i w:val="0"/>
                <w:color w:val="000000"/>
                <w:kern w:val="0"/>
                <w:sz w:val="22"/>
                <w:szCs w:val="22"/>
                <w:u w:val="none"/>
                <w:lang w:val="en-US" w:eastAsia="zh-CN" w:bidi="ar"/>
              </w:rPr>
              <w:t>三级目录</w:t>
            </w:r>
          </w:p>
        </w:tc>
        <w:tc>
          <w:tcPr>
            <w:tcW w:w="1596" w:type="dxa"/>
            <w:tcMar>
              <w:top w:w="12" w:type="dxa"/>
              <w:left w:w="12" w:type="dxa"/>
              <w:right w:w="12" w:type="dxa"/>
            </w:tcMar>
            <w:vAlign w:val="center"/>
          </w:tcPr>
          <w:p>
            <w:pPr>
              <w:spacing w:line="360" w:lineRule="exact"/>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材质</w:t>
            </w:r>
          </w:p>
        </w:tc>
        <w:tc>
          <w:tcPr>
            <w:tcW w:w="1407" w:type="dxa"/>
            <w:tcMar>
              <w:top w:w="12" w:type="dxa"/>
              <w:left w:w="12" w:type="dxa"/>
              <w:right w:w="12" w:type="dxa"/>
            </w:tcMar>
            <w:vAlign w:val="center"/>
          </w:tcPr>
          <w:p>
            <w:pPr>
              <w:spacing w:line="360" w:lineRule="exact"/>
              <w:jc w:val="center"/>
              <w:textAlignment w:val="center"/>
              <w:rPr>
                <w:rFonts w:hint="eastAsia" w:ascii="仿宋" w:hAnsi="仿宋" w:eastAsia="仿宋" w:cs="仿宋"/>
                <w:b/>
                <w:bCs/>
                <w:color w:val="000000"/>
                <w:kern w:val="0"/>
                <w:sz w:val="22"/>
                <w:szCs w:val="22"/>
                <w:u w:val="none"/>
                <w:lang w:val="en-US" w:eastAsia="zh-CN" w:bidi="ar"/>
              </w:rPr>
            </w:pPr>
            <w:r>
              <w:rPr>
                <w:rFonts w:hint="eastAsia" w:ascii="仿宋" w:hAnsi="仿宋" w:eastAsia="仿宋" w:cs="仿宋"/>
                <w:b/>
                <w:bCs/>
                <w:color w:val="000000"/>
                <w:kern w:val="0"/>
                <w:sz w:val="22"/>
                <w:szCs w:val="22"/>
                <w:u w:val="none"/>
                <w:lang w:val="en-US" w:eastAsia="zh-CN" w:bidi="ar"/>
              </w:rPr>
              <w:t>约定采购量</w:t>
            </w:r>
          </w:p>
          <w:p>
            <w:pPr>
              <w:spacing w:line="360" w:lineRule="exact"/>
              <w:jc w:val="center"/>
              <w:textAlignment w:val="center"/>
              <w:rPr>
                <w:rFonts w:hint="default" w:ascii="仿宋" w:hAnsi="仿宋" w:eastAsia="仿宋" w:cs="仿宋"/>
                <w:b/>
                <w:bCs/>
                <w:color w:val="000000"/>
                <w:kern w:val="0"/>
                <w:sz w:val="22"/>
                <w:szCs w:val="22"/>
                <w:u w:val="none"/>
                <w:lang w:val="en-US" w:eastAsia="zh-CN" w:bidi="ar"/>
              </w:rPr>
            </w:pPr>
            <w:r>
              <w:rPr>
                <w:rFonts w:hint="eastAsia" w:ascii="仿宋" w:hAnsi="仿宋" w:eastAsia="仿宋" w:cs="仿宋"/>
                <w:b/>
                <w:bCs/>
                <w:color w:val="000000"/>
                <w:kern w:val="0"/>
                <w:sz w:val="22"/>
                <w:szCs w:val="22"/>
                <w:u w:val="none"/>
                <w:lang w:val="en-US" w:eastAsia="zh-CN" w:bidi="ar"/>
              </w:rPr>
              <w:t>（块/枚）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restart"/>
            <w:tcMar>
              <w:top w:w="12" w:type="dxa"/>
              <w:left w:w="12" w:type="dxa"/>
              <w:right w:w="12" w:type="dxa"/>
            </w:tcMar>
            <w:vAlign w:val="center"/>
          </w:tcPr>
          <w:p>
            <w:pPr>
              <w:spacing w:line="350" w:lineRule="exact"/>
              <w:jc w:val="center"/>
              <w:textAlignment w:val="center"/>
              <w:rPr>
                <w:rFonts w:hint="eastAsia"/>
                <w:u w:val="none"/>
                <w:lang w:val="en-US" w:eastAsia="zh-CN"/>
              </w:rPr>
            </w:pPr>
            <w:r>
              <w:rPr>
                <w:rFonts w:hint="eastAsia" w:ascii="仿宋_GB2312" w:hAnsi="仿宋_GB2312" w:eastAsia="仿宋_GB2312" w:cs="仿宋_GB2312"/>
                <w:color w:val="000000"/>
                <w:kern w:val="0"/>
                <w:sz w:val="22"/>
                <w:szCs w:val="22"/>
                <w:u w:val="none"/>
                <w:lang w:val="en-US" w:eastAsia="zh-CN" w:bidi="ar"/>
              </w:rPr>
              <w:t>锁定加压接骨板</w:t>
            </w: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锁骨接骨板</w:t>
            </w:r>
          </w:p>
        </w:tc>
        <w:tc>
          <w:tcPr>
            <w:tcW w:w="2529" w:type="dxa"/>
            <w:tcMar>
              <w:top w:w="12" w:type="dxa"/>
              <w:left w:w="12" w:type="dxa"/>
              <w:right w:w="12" w:type="dxa"/>
            </w:tcMar>
            <w:vAlign w:val="center"/>
          </w:tcPr>
          <w:p>
            <w:pPr>
              <w:spacing w:line="350" w:lineRule="exact"/>
              <w:jc w:val="center"/>
              <w:textAlignment w:val="center"/>
              <w:rPr>
                <w:rFonts w:hint="default"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bidi="ar"/>
              </w:rPr>
              <w:t>近端/干部/远端</w:t>
            </w:r>
          </w:p>
        </w:tc>
        <w:tc>
          <w:tcPr>
            <w:tcW w:w="1596" w:type="dxa"/>
            <w:tcMar>
              <w:top w:w="12" w:type="dxa"/>
              <w:left w:w="12" w:type="dxa"/>
              <w:right w:w="12" w:type="dxa"/>
            </w:tcMar>
            <w:vAlign w:val="center"/>
          </w:tcPr>
          <w:p>
            <w:pPr>
              <w:spacing w:line="350" w:lineRule="exact"/>
              <w:jc w:val="center"/>
              <w:textAlignment w:val="center"/>
              <w:rPr>
                <w:rFonts w:hint="default"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肱骨接骨板</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近端/干部/远端</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尺骨接骨板</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近端/干部/远端</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桡骨接骨板</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近端/干部/远端</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手部接骨板</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腕骨/掌骨头部/掌骨基底部/掌骨干部/指骨头部/指骨干部/指骨基底部</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骨盆接骨板</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直</w:t>
            </w:r>
            <w:r>
              <w:rPr>
                <w:rFonts w:hint="eastAsia" w:ascii="仿宋_GB2312" w:hAnsi="仿宋_GB2312" w:eastAsia="仿宋_GB2312" w:cs="仿宋_GB2312"/>
                <w:color w:val="000000"/>
                <w:kern w:val="0"/>
                <w:sz w:val="22"/>
                <w:szCs w:val="22"/>
                <w:u w:val="none"/>
                <w:lang w:eastAsia="zh-CN" w:bidi="ar"/>
              </w:rPr>
              <w:t>形</w:t>
            </w:r>
            <w:r>
              <w:rPr>
                <w:rFonts w:hint="eastAsia" w:ascii="仿宋_GB2312" w:hAnsi="仿宋_GB2312" w:eastAsia="仿宋_GB2312" w:cs="仿宋_GB2312"/>
                <w:color w:val="000000"/>
                <w:kern w:val="0"/>
                <w:sz w:val="22"/>
                <w:szCs w:val="22"/>
                <w:u w:val="none"/>
                <w:lang w:bidi="ar"/>
              </w:rPr>
              <w:t>/弧</w:t>
            </w:r>
            <w:r>
              <w:rPr>
                <w:rFonts w:hint="eastAsia" w:ascii="仿宋_GB2312" w:hAnsi="仿宋_GB2312" w:eastAsia="仿宋_GB2312" w:cs="仿宋_GB2312"/>
                <w:color w:val="000000"/>
                <w:kern w:val="0"/>
                <w:sz w:val="22"/>
                <w:szCs w:val="22"/>
                <w:u w:val="none"/>
                <w:lang w:eastAsia="zh-CN" w:bidi="ar"/>
              </w:rPr>
              <w:t>形</w:t>
            </w:r>
            <w:r>
              <w:rPr>
                <w:rFonts w:hint="eastAsia" w:ascii="仿宋_GB2312" w:hAnsi="仿宋_GB2312" w:eastAsia="仿宋_GB2312" w:cs="仿宋_GB2312"/>
                <w:color w:val="000000"/>
                <w:kern w:val="0"/>
                <w:sz w:val="22"/>
                <w:szCs w:val="22"/>
                <w:u w:val="none"/>
                <w:lang w:bidi="ar"/>
              </w:rPr>
              <w:t>/解剖</w:t>
            </w:r>
            <w:r>
              <w:rPr>
                <w:rFonts w:hint="eastAsia" w:ascii="仿宋_GB2312" w:hAnsi="仿宋_GB2312" w:eastAsia="仿宋_GB2312" w:cs="仿宋_GB2312"/>
                <w:color w:val="000000"/>
                <w:kern w:val="0"/>
                <w:sz w:val="22"/>
                <w:szCs w:val="22"/>
                <w:u w:val="none"/>
                <w:lang w:eastAsia="zh-CN" w:bidi="ar"/>
              </w:rPr>
              <w:t>形</w:t>
            </w:r>
            <w:r>
              <w:rPr>
                <w:rFonts w:hint="eastAsia" w:ascii="仿宋_GB2312" w:hAnsi="仿宋_GB2312" w:eastAsia="仿宋_GB2312" w:cs="仿宋_GB2312"/>
                <w:color w:val="000000"/>
                <w:kern w:val="0"/>
                <w:sz w:val="22"/>
                <w:szCs w:val="22"/>
                <w:u w:val="none"/>
                <w:lang w:bidi="ar"/>
              </w:rPr>
              <w:t>/耻骨</w:t>
            </w:r>
            <w:r>
              <w:rPr>
                <w:rFonts w:hint="eastAsia" w:ascii="仿宋_GB2312" w:hAnsi="仿宋_GB2312" w:eastAsia="仿宋_GB2312" w:cs="仿宋_GB2312"/>
                <w:color w:val="000000"/>
                <w:kern w:val="0"/>
                <w:sz w:val="22"/>
                <w:szCs w:val="22"/>
                <w:u w:val="none"/>
                <w:lang w:eastAsia="zh-CN" w:bidi="ar"/>
              </w:rPr>
              <w:t>形</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股骨接骨板</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近端/干部/远端</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bidi="ar"/>
              </w:rPr>
              <w:t>髌骨接骨板</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胫骨接骨板</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近端/干部/远端</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腓骨接骨板</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近端/干部/远端</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跟骨接骨板</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足部接骨板</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前足/中足/后足</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通用接骨板</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直</w:t>
            </w:r>
            <w:r>
              <w:rPr>
                <w:rFonts w:hint="eastAsia" w:ascii="仿宋_GB2312" w:hAnsi="仿宋_GB2312" w:eastAsia="仿宋_GB2312" w:cs="仿宋_GB2312"/>
                <w:color w:val="000000"/>
                <w:kern w:val="0"/>
                <w:sz w:val="22"/>
                <w:szCs w:val="22"/>
                <w:u w:val="none"/>
                <w:lang w:eastAsia="zh-CN" w:bidi="ar"/>
              </w:rPr>
              <w:t>形</w:t>
            </w:r>
            <w:r>
              <w:rPr>
                <w:rFonts w:hint="eastAsia" w:ascii="仿宋_GB2312" w:hAnsi="仿宋_GB2312" w:eastAsia="仿宋_GB2312" w:cs="仿宋_GB2312"/>
                <w:color w:val="000000"/>
                <w:kern w:val="0"/>
                <w:sz w:val="22"/>
                <w:szCs w:val="22"/>
                <w:u w:val="none"/>
                <w:lang w:bidi="ar"/>
              </w:rPr>
              <w:t>/弧</w:t>
            </w:r>
            <w:r>
              <w:rPr>
                <w:rFonts w:hint="eastAsia" w:ascii="仿宋_GB2312" w:hAnsi="仿宋_GB2312" w:eastAsia="仿宋_GB2312" w:cs="仿宋_GB2312"/>
                <w:color w:val="000000"/>
                <w:kern w:val="0"/>
                <w:sz w:val="22"/>
                <w:szCs w:val="22"/>
                <w:u w:val="none"/>
                <w:lang w:eastAsia="zh-CN" w:bidi="ar"/>
              </w:rPr>
              <w:t>形</w:t>
            </w:r>
            <w:r>
              <w:rPr>
                <w:rFonts w:hint="eastAsia" w:ascii="仿宋_GB2312" w:hAnsi="仿宋_GB2312" w:eastAsia="仿宋_GB2312" w:cs="仿宋_GB2312"/>
                <w:color w:val="000000"/>
                <w:kern w:val="0"/>
                <w:sz w:val="22"/>
                <w:szCs w:val="22"/>
                <w:u w:val="none"/>
                <w:lang w:bidi="ar"/>
              </w:rPr>
              <w:t>/管</w:t>
            </w:r>
            <w:r>
              <w:rPr>
                <w:rFonts w:hint="eastAsia" w:ascii="仿宋_GB2312" w:hAnsi="仿宋_GB2312" w:eastAsia="仿宋_GB2312" w:cs="仿宋_GB2312"/>
                <w:color w:val="000000"/>
                <w:kern w:val="0"/>
                <w:sz w:val="22"/>
                <w:szCs w:val="22"/>
                <w:u w:val="none"/>
                <w:lang w:eastAsia="zh-CN" w:bidi="ar"/>
              </w:rPr>
              <w:t>形</w:t>
            </w:r>
            <w:r>
              <w:rPr>
                <w:rFonts w:hint="eastAsia" w:ascii="仿宋_GB2312" w:hAnsi="仿宋_GB2312" w:eastAsia="仿宋_GB2312" w:cs="仿宋_GB2312"/>
                <w:color w:val="000000"/>
                <w:kern w:val="0"/>
                <w:sz w:val="22"/>
                <w:szCs w:val="22"/>
                <w:u w:val="none"/>
                <w:lang w:bidi="ar"/>
              </w:rPr>
              <w:t>/钩</w:t>
            </w:r>
            <w:r>
              <w:rPr>
                <w:rFonts w:hint="eastAsia" w:ascii="仿宋_GB2312" w:hAnsi="仿宋_GB2312" w:eastAsia="仿宋_GB2312" w:cs="仿宋_GB2312"/>
                <w:color w:val="000000"/>
                <w:kern w:val="0"/>
                <w:sz w:val="22"/>
                <w:szCs w:val="22"/>
                <w:u w:val="none"/>
                <w:lang w:eastAsia="zh-CN" w:bidi="ar"/>
              </w:rPr>
              <w:t>形</w:t>
            </w:r>
            <w:r>
              <w:rPr>
                <w:rFonts w:hint="eastAsia" w:ascii="仿宋_GB2312" w:hAnsi="仿宋_GB2312" w:eastAsia="仿宋_GB2312" w:cs="仿宋_GB2312"/>
                <w:color w:val="000000"/>
                <w:kern w:val="0"/>
                <w:sz w:val="22"/>
                <w:szCs w:val="22"/>
                <w:u w:val="none"/>
                <w:lang w:bidi="ar"/>
              </w:rPr>
              <w:t>/异</w:t>
            </w:r>
            <w:r>
              <w:rPr>
                <w:rFonts w:hint="eastAsia" w:ascii="仿宋_GB2312" w:hAnsi="仿宋_GB2312" w:eastAsia="仿宋_GB2312" w:cs="仿宋_GB2312"/>
                <w:color w:val="000000"/>
                <w:kern w:val="0"/>
                <w:sz w:val="22"/>
                <w:szCs w:val="22"/>
                <w:u w:val="none"/>
                <w:lang w:eastAsia="zh-CN" w:bidi="ar"/>
              </w:rPr>
              <w:t>形</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锁骨接骨板</w:t>
            </w:r>
            <w:r>
              <w:rPr>
                <w:rFonts w:hint="eastAsia" w:ascii="仿宋_GB2312" w:hAnsi="仿宋_GB2312" w:eastAsia="仿宋_GB2312" w:cs="仿宋_GB2312"/>
                <w:color w:val="000000"/>
                <w:kern w:val="0"/>
                <w:sz w:val="22"/>
                <w:szCs w:val="22"/>
                <w:u w:val="none"/>
                <w:lang w:val="en-US" w:eastAsia="zh-CN" w:bidi="ar"/>
              </w:rPr>
              <w:t>（万向）</w:t>
            </w:r>
          </w:p>
        </w:tc>
        <w:tc>
          <w:tcPr>
            <w:tcW w:w="2529" w:type="dxa"/>
            <w:tcMar>
              <w:top w:w="12" w:type="dxa"/>
              <w:left w:w="12" w:type="dxa"/>
              <w:right w:w="12" w:type="dxa"/>
            </w:tcMar>
            <w:vAlign w:val="center"/>
          </w:tcPr>
          <w:p>
            <w:pPr>
              <w:spacing w:line="350" w:lineRule="exact"/>
              <w:jc w:val="center"/>
              <w:textAlignment w:val="center"/>
              <w:rPr>
                <w:rFonts w:hint="default"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bidi="ar"/>
              </w:rPr>
              <w:t>近端/干部/远端</w:t>
            </w:r>
          </w:p>
        </w:tc>
        <w:tc>
          <w:tcPr>
            <w:tcW w:w="1596" w:type="dxa"/>
            <w:tcMar>
              <w:top w:w="12" w:type="dxa"/>
              <w:left w:w="12" w:type="dxa"/>
              <w:right w:w="12" w:type="dxa"/>
            </w:tcMar>
            <w:vAlign w:val="center"/>
          </w:tcPr>
          <w:p>
            <w:pPr>
              <w:spacing w:line="350" w:lineRule="exact"/>
              <w:jc w:val="center"/>
              <w:textAlignment w:val="center"/>
              <w:rPr>
                <w:rFonts w:hint="default"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肱骨接骨板</w:t>
            </w:r>
            <w:r>
              <w:rPr>
                <w:rFonts w:hint="eastAsia" w:ascii="仿宋_GB2312" w:hAnsi="仿宋_GB2312" w:eastAsia="仿宋_GB2312" w:cs="仿宋_GB2312"/>
                <w:color w:val="000000"/>
                <w:kern w:val="0"/>
                <w:sz w:val="22"/>
                <w:szCs w:val="22"/>
                <w:u w:val="none"/>
                <w:lang w:val="en-US" w:eastAsia="zh-CN" w:bidi="ar"/>
              </w:rPr>
              <w:t>（万向）</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近端/干部/远端</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尺骨接骨板</w:t>
            </w:r>
            <w:r>
              <w:rPr>
                <w:rFonts w:hint="eastAsia" w:ascii="仿宋_GB2312" w:hAnsi="仿宋_GB2312" w:eastAsia="仿宋_GB2312" w:cs="仿宋_GB2312"/>
                <w:color w:val="000000"/>
                <w:kern w:val="0"/>
                <w:sz w:val="22"/>
                <w:szCs w:val="22"/>
                <w:u w:val="none"/>
                <w:lang w:val="en-US" w:eastAsia="zh-CN" w:bidi="ar"/>
              </w:rPr>
              <w:t>（万向）</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近端/干部/远端</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桡骨接骨板</w:t>
            </w:r>
            <w:r>
              <w:rPr>
                <w:rFonts w:hint="eastAsia" w:ascii="仿宋_GB2312" w:hAnsi="仿宋_GB2312" w:eastAsia="仿宋_GB2312" w:cs="仿宋_GB2312"/>
                <w:color w:val="000000"/>
                <w:kern w:val="0"/>
                <w:sz w:val="22"/>
                <w:szCs w:val="22"/>
                <w:u w:val="none"/>
                <w:lang w:val="en-US" w:eastAsia="zh-CN" w:bidi="ar"/>
              </w:rPr>
              <w:t>（万向）</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近端/干部/远端</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手部接骨板</w:t>
            </w:r>
            <w:r>
              <w:rPr>
                <w:rFonts w:hint="eastAsia" w:ascii="仿宋_GB2312" w:hAnsi="仿宋_GB2312" w:eastAsia="仿宋_GB2312" w:cs="仿宋_GB2312"/>
                <w:color w:val="000000"/>
                <w:kern w:val="0"/>
                <w:sz w:val="22"/>
                <w:szCs w:val="22"/>
                <w:u w:val="none"/>
                <w:lang w:val="en-US" w:eastAsia="zh-CN" w:bidi="ar"/>
              </w:rPr>
              <w:t>（万向）</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腕骨/掌骨头部/掌骨基底部/掌骨干部/指骨头部/指骨干部/指骨基底部</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骨盆接骨板</w:t>
            </w:r>
            <w:r>
              <w:rPr>
                <w:rFonts w:hint="eastAsia" w:ascii="仿宋_GB2312" w:hAnsi="仿宋_GB2312" w:eastAsia="仿宋_GB2312" w:cs="仿宋_GB2312"/>
                <w:color w:val="000000"/>
                <w:kern w:val="0"/>
                <w:sz w:val="22"/>
                <w:szCs w:val="22"/>
                <w:u w:val="none"/>
                <w:lang w:val="en-US" w:eastAsia="zh-CN" w:bidi="ar"/>
              </w:rPr>
              <w:t>（万向）</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直</w:t>
            </w:r>
            <w:r>
              <w:rPr>
                <w:rFonts w:hint="eastAsia" w:ascii="仿宋_GB2312" w:hAnsi="仿宋_GB2312" w:eastAsia="仿宋_GB2312" w:cs="仿宋_GB2312"/>
                <w:color w:val="000000"/>
                <w:kern w:val="0"/>
                <w:sz w:val="22"/>
                <w:szCs w:val="22"/>
                <w:u w:val="none"/>
                <w:lang w:eastAsia="zh-CN" w:bidi="ar"/>
              </w:rPr>
              <w:t>形</w:t>
            </w:r>
            <w:r>
              <w:rPr>
                <w:rFonts w:hint="eastAsia" w:ascii="仿宋_GB2312" w:hAnsi="仿宋_GB2312" w:eastAsia="仿宋_GB2312" w:cs="仿宋_GB2312"/>
                <w:color w:val="000000"/>
                <w:kern w:val="0"/>
                <w:sz w:val="22"/>
                <w:szCs w:val="22"/>
                <w:u w:val="none"/>
                <w:lang w:bidi="ar"/>
              </w:rPr>
              <w:t>/弧</w:t>
            </w:r>
            <w:r>
              <w:rPr>
                <w:rFonts w:hint="eastAsia" w:ascii="仿宋_GB2312" w:hAnsi="仿宋_GB2312" w:eastAsia="仿宋_GB2312" w:cs="仿宋_GB2312"/>
                <w:color w:val="000000"/>
                <w:kern w:val="0"/>
                <w:sz w:val="22"/>
                <w:szCs w:val="22"/>
                <w:u w:val="none"/>
                <w:lang w:eastAsia="zh-CN" w:bidi="ar"/>
              </w:rPr>
              <w:t>形</w:t>
            </w:r>
            <w:r>
              <w:rPr>
                <w:rFonts w:hint="eastAsia" w:ascii="仿宋_GB2312" w:hAnsi="仿宋_GB2312" w:eastAsia="仿宋_GB2312" w:cs="仿宋_GB2312"/>
                <w:color w:val="000000"/>
                <w:kern w:val="0"/>
                <w:sz w:val="22"/>
                <w:szCs w:val="22"/>
                <w:u w:val="none"/>
                <w:lang w:bidi="ar"/>
              </w:rPr>
              <w:t>/解剖</w:t>
            </w:r>
            <w:r>
              <w:rPr>
                <w:rFonts w:hint="eastAsia" w:ascii="仿宋_GB2312" w:hAnsi="仿宋_GB2312" w:eastAsia="仿宋_GB2312" w:cs="仿宋_GB2312"/>
                <w:color w:val="000000"/>
                <w:kern w:val="0"/>
                <w:sz w:val="22"/>
                <w:szCs w:val="22"/>
                <w:u w:val="none"/>
                <w:lang w:eastAsia="zh-CN" w:bidi="ar"/>
              </w:rPr>
              <w:t>形</w:t>
            </w:r>
            <w:r>
              <w:rPr>
                <w:rFonts w:hint="eastAsia" w:ascii="仿宋_GB2312" w:hAnsi="仿宋_GB2312" w:eastAsia="仿宋_GB2312" w:cs="仿宋_GB2312"/>
                <w:color w:val="000000"/>
                <w:kern w:val="0"/>
                <w:sz w:val="22"/>
                <w:szCs w:val="22"/>
                <w:u w:val="none"/>
                <w:lang w:bidi="ar"/>
              </w:rPr>
              <w:t>/耻骨</w:t>
            </w:r>
            <w:r>
              <w:rPr>
                <w:rFonts w:hint="eastAsia" w:ascii="仿宋_GB2312" w:hAnsi="仿宋_GB2312" w:eastAsia="仿宋_GB2312" w:cs="仿宋_GB2312"/>
                <w:color w:val="000000"/>
                <w:kern w:val="0"/>
                <w:sz w:val="22"/>
                <w:szCs w:val="22"/>
                <w:u w:val="none"/>
                <w:lang w:eastAsia="zh-CN" w:bidi="ar"/>
              </w:rPr>
              <w:t>形</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continue"/>
            <w:tcMar>
              <w:top w:w="12" w:type="dxa"/>
              <w:left w:w="12" w:type="dxa"/>
              <w:right w:w="12" w:type="dxa"/>
            </w:tcMar>
            <w:vAlign w:val="center"/>
          </w:tcPr>
          <w:p>
            <w:pPr>
              <w:bidi w:val="0"/>
              <w:ind w:firstLine="595" w:firstLineChars="0"/>
              <w:jc w:val="left"/>
              <w:rPr>
                <w:rFonts w:hint="eastAsia"/>
                <w:u w:val="none"/>
                <w:lang w:val="en-US" w:eastAsia="zh-CN"/>
              </w:rPr>
            </w:pP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股骨接骨板</w:t>
            </w:r>
            <w:r>
              <w:rPr>
                <w:rFonts w:hint="eastAsia" w:ascii="仿宋_GB2312" w:hAnsi="仿宋_GB2312" w:eastAsia="仿宋_GB2312" w:cs="仿宋_GB2312"/>
                <w:color w:val="000000"/>
                <w:kern w:val="0"/>
                <w:sz w:val="22"/>
                <w:szCs w:val="22"/>
                <w:u w:val="none"/>
                <w:lang w:val="en-US" w:eastAsia="zh-CN" w:bidi="ar"/>
              </w:rPr>
              <w:t>（万向）</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近端/干部/远端</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continue"/>
            <w:tcMar>
              <w:top w:w="12" w:type="dxa"/>
              <w:left w:w="12" w:type="dxa"/>
              <w:right w:w="12" w:type="dxa"/>
            </w:tcMar>
            <w:vAlign w:val="center"/>
          </w:tcPr>
          <w:p>
            <w:pPr>
              <w:bidi w:val="0"/>
              <w:ind w:firstLine="595" w:firstLineChars="0"/>
              <w:jc w:val="left"/>
              <w:rPr>
                <w:rFonts w:hint="eastAsia"/>
                <w:u w:val="none"/>
                <w:lang w:val="en-US" w:eastAsia="zh-CN"/>
              </w:rPr>
            </w:pP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bidi="ar"/>
              </w:rPr>
              <w:t>髌骨接骨板</w:t>
            </w:r>
            <w:r>
              <w:rPr>
                <w:rFonts w:hint="eastAsia" w:ascii="仿宋_GB2312" w:hAnsi="仿宋_GB2312" w:eastAsia="仿宋_GB2312" w:cs="仿宋_GB2312"/>
                <w:color w:val="000000"/>
                <w:kern w:val="0"/>
                <w:sz w:val="22"/>
                <w:szCs w:val="22"/>
                <w:u w:val="none"/>
                <w:lang w:eastAsia="zh-CN" w:bidi="ar"/>
              </w:rPr>
              <w:t>（</w:t>
            </w:r>
            <w:r>
              <w:rPr>
                <w:rFonts w:hint="eastAsia" w:ascii="仿宋_GB2312" w:hAnsi="仿宋_GB2312" w:eastAsia="仿宋_GB2312" w:cs="仿宋_GB2312"/>
                <w:color w:val="000000"/>
                <w:kern w:val="0"/>
                <w:sz w:val="22"/>
                <w:szCs w:val="22"/>
                <w:u w:val="none"/>
                <w:lang w:val="en-US" w:eastAsia="zh-CN" w:bidi="ar"/>
              </w:rPr>
              <w:t>万向</w:t>
            </w:r>
            <w:r>
              <w:rPr>
                <w:rFonts w:hint="eastAsia" w:ascii="仿宋_GB2312" w:hAnsi="仿宋_GB2312" w:eastAsia="仿宋_GB2312" w:cs="仿宋_GB2312"/>
                <w:color w:val="000000"/>
                <w:kern w:val="0"/>
                <w:sz w:val="22"/>
                <w:szCs w:val="22"/>
                <w:u w:val="none"/>
                <w:lang w:eastAsia="zh-CN" w:bidi="ar"/>
              </w:rPr>
              <w:t>）</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胫骨接骨板</w:t>
            </w:r>
            <w:r>
              <w:rPr>
                <w:rFonts w:hint="eastAsia" w:ascii="仿宋_GB2312" w:hAnsi="仿宋_GB2312" w:eastAsia="仿宋_GB2312" w:cs="仿宋_GB2312"/>
                <w:color w:val="000000"/>
                <w:kern w:val="0"/>
                <w:sz w:val="22"/>
                <w:szCs w:val="22"/>
                <w:u w:val="none"/>
                <w:lang w:val="en-US" w:eastAsia="zh-CN" w:bidi="ar"/>
              </w:rPr>
              <w:t>（万向）</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近端/干部/远端</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腓骨接骨板</w:t>
            </w:r>
            <w:r>
              <w:rPr>
                <w:rFonts w:hint="eastAsia" w:ascii="仿宋_GB2312" w:hAnsi="仿宋_GB2312" w:eastAsia="仿宋_GB2312" w:cs="仿宋_GB2312"/>
                <w:color w:val="000000"/>
                <w:kern w:val="0"/>
                <w:sz w:val="22"/>
                <w:szCs w:val="22"/>
                <w:u w:val="none"/>
                <w:lang w:val="en-US" w:eastAsia="zh-CN" w:bidi="ar"/>
              </w:rPr>
              <w:t>（万向）</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近端/干部/远端</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跟骨接骨板</w:t>
            </w:r>
            <w:r>
              <w:rPr>
                <w:rFonts w:hint="eastAsia" w:ascii="仿宋_GB2312" w:hAnsi="仿宋_GB2312" w:eastAsia="仿宋_GB2312" w:cs="仿宋_GB2312"/>
                <w:color w:val="000000"/>
                <w:kern w:val="0"/>
                <w:sz w:val="22"/>
                <w:szCs w:val="22"/>
                <w:u w:val="none"/>
                <w:lang w:val="en-US" w:eastAsia="zh-CN" w:bidi="ar"/>
              </w:rPr>
              <w:t>（万向）</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足部接骨板</w:t>
            </w:r>
            <w:r>
              <w:rPr>
                <w:rFonts w:hint="eastAsia" w:ascii="仿宋_GB2312" w:hAnsi="仿宋_GB2312" w:eastAsia="仿宋_GB2312" w:cs="仿宋_GB2312"/>
                <w:color w:val="000000"/>
                <w:kern w:val="0"/>
                <w:sz w:val="22"/>
                <w:szCs w:val="22"/>
                <w:u w:val="none"/>
                <w:lang w:val="en-US" w:eastAsia="zh-CN" w:bidi="ar"/>
              </w:rPr>
              <w:t>（万向）</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前足/中足/后足</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vMerge w:val="continue"/>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通用接骨板</w:t>
            </w:r>
            <w:r>
              <w:rPr>
                <w:rFonts w:hint="eastAsia" w:ascii="仿宋_GB2312" w:hAnsi="仿宋_GB2312" w:eastAsia="仿宋_GB2312" w:cs="仿宋_GB2312"/>
                <w:color w:val="000000"/>
                <w:kern w:val="0"/>
                <w:sz w:val="22"/>
                <w:szCs w:val="22"/>
                <w:u w:val="none"/>
                <w:lang w:val="en-US" w:eastAsia="zh-CN" w:bidi="ar"/>
              </w:rPr>
              <w:t>（万向）</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直</w:t>
            </w:r>
            <w:r>
              <w:rPr>
                <w:rFonts w:hint="eastAsia" w:ascii="仿宋_GB2312" w:hAnsi="仿宋_GB2312" w:eastAsia="仿宋_GB2312" w:cs="仿宋_GB2312"/>
                <w:color w:val="000000"/>
                <w:kern w:val="0"/>
                <w:sz w:val="22"/>
                <w:szCs w:val="22"/>
                <w:u w:val="none"/>
                <w:lang w:eastAsia="zh-CN" w:bidi="ar"/>
              </w:rPr>
              <w:t>形</w:t>
            </w:r>
            <w:r>
              <w:rPr>
                <w:rFonts w:hint="eastAsia" w:ascii="仿宋_GB2312" w:hAnsi="仿宋_GB2312" w:eastAsia="仿宋_GB2312" w:cs="仿宋_GB2312"/>
                <w:color w:val="000000"/>
                <w:kern w:val="0"/>
                <w:sz w:val="22"/>
                <w:szCs w:val="22"/>
                <w:u w:val="none"/>
                <w:lang w:bidi="ar"/>
              </w:rPr>
              <w:t>/弧</w:t>
            </w:r>
            <w:r>
              <w:rPr>
                <w:rFonts w:hint="eastAsia" w:ascii="仿宋_GB2312" w:hAnsi="仿宋_GB2312" w:eastAsia="仿宋_GB2312" w:cs="仿宋_GB2312"/>
                <w:color w:val="000000"/>
                <w:kern w:val="0"/>
                <w:sz w:val="22"/>
                <w:szCs w:val="22"/>
                <w:u w:val="none"/>
                <w:lang w:eastAsia="zh-CN" w:bidi="ar"/>
              </w:rPr>
              <w:t>形</w:t>
            </w:r>
            <w:r>
              <w:rPr>
                <w:rFonts w:hint="eastAsia" w:ascii="仿宋_GB2312" w:hAnsi="仿宋_GB2312" w:eastAsia="仿宋_GB2312" w:cs="仿宋_GB2312"/>
                <w:color w:val="000000"/>
                <w:kern w:val="0"/>
                <w:sz w:val="22"/>
                <w:szCs w:val="22"/>
                <w:u w:val="none"/>
                <w:lang w:bidi="ar"/>
              </w:rPr>
              <w:t>/管</w:t>
            </w:r>
            <w:r>
              <w:rPr>
                <w:rFonts w:hint="eastAsia" w:ascii="仿宋_GB2312" w:hAnsi="仿宋_GB2312" w:eastAsia="仿宋_GB2312" w:cs="仿宋_GB2312"/>
                <w:color w:val="000000"/>
                <w:kern w:val="0"/>
                <w:sz w:val="22"/>
                <w:szCs w:val="22"/>
                <w:u w:val="none"/>
                <w:lang w:eastAsia="zh-CN" w:bidi="ar"/>
              </w:rPr>
              <w:t>形</w:t>
            </w:r>
            <w:r>
              <w:rPr>
                <w:rFonts w:hint="eastAsia" w:ascii="仿宋_GB2312" w:hAnsi="仿宋_GB2312" w:eastAsia="仿宋_GB2312" w:cs="仿宋_GB2312"/>
                <w:color w:val="000000"/>
                <w:kern w:val="0"/>
                <w:sz w:val="22"/>
                <w:szCs w:val="22"/>
                <w:u w:val="none"/>
                <w:lang w:bidi="ar"/>
              </w:rPr>
              <w:t>/钩</w:t>
            </w:r>
            <w:r>
              <w:rPr>
                <w:rFonts w:hint="eastAsia" w:ascii="仿宋_GB2312" w:hAnsi="仿宋_GB2312" w:eastAsia="仿宋_GB2312" w:cs="仿宋_GB2312"/>
                <w:color w:val="000000"/>
                <w:kern w:val="0"/>
                <w:sz w:val="22"/>
                <w:szCs w:val="22"/>
                <w:u w:val="none"/>
                <w:lang w:eastAsia="zh-CN" w:bidi="ar"/>
              </w:rPr>
              <w:t>形</w:t>
            </w:r>
            <w:r>
              <w:rPr>
                <w:rFonts w:hint="eastAsia" w:ascii="仿宋_GB2312" w:hAnsi="仿宋_GB2312" w:eastAsia="仿宋_GB2312" w:cs="仿宋_GB2312"/>
                <w:color w:val="000000"/>
                <w:kern w:val="0"/>
                <w:sz w:val="22"/>
                <w:szCs w:val="22"/>
                <w:u w:val="none"/>
                <w:lang w:bidi="ar"/>
              </w:rPr>
              <w:t>/异</w:t>
            </w:r>
            <w:r>
              <w:rPr>
                <w:rFonts w:hint="eastAsia" w:ascii="仿宋_GB2312" w:hAnsi="仿宋_GB2312" w:eastAsia="仿宋_GB2312" w:cs="仿宋_GB2312"/>
                <w:color w:val="000000"/>
                <w:kern w:val="0"/>
                <w:sz w:val="22"/>
                <w:szCs w:val="22"/>
                <w:u w:val="none"/>
                <w:lang w:eastAsia="zh-CN" w:bidi="ar"/>
              </w:rPr>
              <w:t>形</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875" w:type="dxa"/>
            <w:gridSpan w:val="5"/>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普通锁定接骨螺钉</w:t>
            </w: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普通锁定接骨螺钉</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bidi="ar"/>
              </w:rPr>
              <w:t>/</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tcMar>
              <w:top w:w="12" w:type="dxa"/>
              <w:left w:w="12" w:type="dxa"/>
              <w:right w:w="12" w:type="dxa"/>
            </w:tcMar>
            <w:vAlign w:val="center"/>
          </w:tcPr>
          <w:p>
            <w:pPr>
              <w:spacing w:line="350" w:lineRule="exact"/>
              <w:jc w:val="center"/>
              <w:textAlignment w:val="center"/>
              <w:rPr>
                <w:rFonts w:hint="default" w:ascii="仿宋" w:hAnsi="仿宋" w:eastAsia="仿宋" w:cs="仿宋"/>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万向锁定螺钉</w:t>
            </w:r>
          </w:p>
        </w:tc>
        <w:tc>
          <w:tcPr>
            <w:tcW w:w="1902" w:type="dxa"/>
            <w:tcMar>
              <w:top w:w="12" w:type="dxa"/>
              <w:left w:w="12" w:type="dxa"/>
              <w:right w:w="12" w:type="dxa"/>
            </w:tcMar>
            <w:vAlign w:val="center"/>
          </w:tcPr>
          <w:p>
            <w:pPr>
              <w:spacing w:line="350" w:lineRule="exact"/>
              <w:jc w:val="center"/>
              <w:textAlignment w:val="center"/>
              <w:rPr>
                <w:rFonts w:hint="default"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万向锁定螺钉</w:t>
            </w:r>
          </w:p>
        </w:tc>
        <w:tc>
          <w:tcPr>
            <w:tcW w:w="2529" w:type="dxa"/>
            <w:tcMar>
              <w:top w:w="12" w:type="dxa"/>
              <w:left w:w="12" w:type="dxa"/>
              <w:right w:w="12" w:type="dxa"/>
            </w:tcMar>
            <w:vAlign w:val="center"/>
          </w:tcPr>
          <w:p>
            <w:pPr>
              <w:spacing w:line="350" w:lineRule="exact"/>
              <w:jc w:val="center"/>
              <w:textAlignment w:val="center"/>
              <w:rPr>
                <w:rFonts w:hint="default"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bidi="ar"/>
              </w:rPr>
              <w:t>/</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1"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b/>
                <w:bCs/>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中空（空心）锁定螺钉</w:t>
            </w:r>
          </w:p>
        </w:tc>
        <w:tc>
          <w:tcPr>
            <w:tcW w:w="1902"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中空锁定螺钉</w:t>
            </w:r>
          </w:p>
        </w:tc>
        <w:tc>
          <w:tcPr>
            <w:tcW w:w="2529"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bidi="ar"/>
              </w:rPr>
              <w:t>/</w:t>
            </w:r>
          </w:p>
        </w:tc>
        <w:tc>
          <w:tcPr>
            <w:tcW w:w="1596"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407"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r>
    </w:tbl>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仿宋" w:hAnsi="仿宋" w:eastAsia="仿宋" w:cs="仿宋"/>
          <w:color w:val="000000"/>
          <w:kern w:val="0"/>
          <w:sz w:val="31"/>
          <w:szCs w:val="31"/>
          <w:u w:val="none"/>
          <w:shd w:val="clear" w:color="auto" w:fill="auto"/>
          <w:lang w:val="en-US" w:eastAsia="zh-CN" w:bidi="ar"/>
        </w:rPr>
      </w:pPr>
      <w:r>
        <w:rPr>
          <w:rFonts w:hint="eastAsia" w:ascii="仿宋_GB2312" w:hAnsi="仿宋_GB2312" w:eastAsia="仿宋_GB2312" w:cs="仿宋_GB2312"/>
          <w:u w:val="none"/>
          <w:shd w:val="clear" w:color="auto" w:fill="auto"/>
          <w:lang w:val="en-US" w:eastAsia="zh-CN"/>
        </w:rPr>
        <w:t>注：接骨板与其配套螺钉组成系统，成套使用，配套螺钉不再单独收费。企业须提供满足接骨板临床使用的所有螺钉。</w:t>
      </w:r>
    </w:p>
    <w:p>
      <w:pPr>
        <w:pStyle w:val="2"/>
        <w:rPr>
          <w:rFonts w:hint="eastAsia"/>
          <w:u w:val="none"/>
          <w:lang w:val="en-US" w:eastAsia="zh-CN"/>
        </w:rPr>
      </w:pPr>
    </w:p>
    <w:p>
      <w:pPr>
        <w:keepNext w:val="0"/>
        <w:keepLines w:val="0"/>
        <w:pageBreakBefore w:val="0"/>
        <w:kinsoku/>
        <w:wordWrap/>
        <w:overflowPunct/>
        <w:topLinePunct w:val="0"/>
        <w:bidi w:val="0"/>
        <w:snapToGrid/>
        <w:spacing w:line="540" w:lineRule="exact"/>
        <w:ind w:firstLine="640" w:firstLineChars="200"/>
        <w:textAlignment w:val="auto"/>
        <w:rPr>
          <w:rFonts w:hint="default" w:ascii="仿宋_GB2312" w:hAnsi="仿宋_GB2312" w:eastAsia="仿宋_GB2312" w:cs="仿宋_GB2312"/>
          <w:sz w:val="32"/>
          <w:szCs w:val="32"/>
          <w:u w:val="none"/>
          <w:shd w:val="clear" w:color="FFFFFF" w:fill="D9D9D9"/>
          <w:lang w:val="en-US" w:eastAsia="zh-CN"/>
        </w:rPr>
      </w:pPr>
      <w:r>
        <w:rPr>
          <w:rFonts w:hint="eastAsia" w:ascii="仿宋_GB2312" w:hAnsi="仿宋_GB2312" w:eastAsia="仿宋_GB2312" w:cs="仿宋_GB2312"/>
          <w:sz w:val="32"/>
          <w:szCs w:val="32"/>
          <w:u w:val="none"/>
          <w:lang w:val="en-US" w:eastAsia="zh-CN"/>
        </w:rPr>
        <w:t>采购包三：髓内钉及配件</w:t>
      </w:r>
    </w:p>
    <w:tbl>
      <w:tblPr>
        <w:tblStyle w:val="9"/>
        <w:tblW w:w="8327" w:type="dxa"/>
        <w:jc w:val="center"/>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6"/>
        <w:gridCol w:w="1750"/>
        <w:gridCol w:w="1921"/>
        <w:gridCol w:w="1635"/>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086" w:type="dxa"/>
            <w:tcMar>
              <w:top w:w="12" w:type="dxa"/>
              <w:left w:w="12" w:type="dxa"/>
              <w:right w:w="12" w:type="dxa"/>
            </w:tcMar>
            <w:vAlign w:val="center"/>
          </w:tcPr>
          <w:p>
            <w:pPr>
              <w:spacing w:line="360" w:lineRule="exact"/>
              <w:jc w:val="center"/>
              <w:textAlignment w:val="center"/>
              <w:rPr>
                <w:rFonts w:hint="default" w:ascii="仿宋" w:hAnsi="仿宋" w:eastAsia="仿宋" w:cs="仿宋"/>
                <w:b/>
                <w:bCs/>
                <w:color w:val="000000"/>
                <w:sz w:val="22"/>
                <w:szCs w:val="22"/>
                <w:u w:val="none"/>
                <w:lang w:val="en-US" w:eastAsia="zh-CN"/>
              </w:rPr>
            </w:pPr>
            <w:r>
              <w:rPr>
                <w:rFonts w:hint="eastAsia" w:ascii="仿宋" w:hAnsi="仿宋" w:eastAsia="仿宋" w:cs="仿宋"/>
                <w:b/>
                <w:bCs/>
                <w:color w:val="000000"/>
                <w:sz w:val="22"/>
                <w:szCs w:val="22"/>
                <w:u w:val="none"/>
                <w:lang w:val="en-US" w:eastAsia="zh-CN"/>
              </w:rPr>
              <w:t>一级目录</w:t>
            </w:r>
          </w:p>
        </w:tc>
        <w:tc>
          <w:tcPr>
            <w:tcW w:w="1750" w:type="dxa"/>
            <w:tcMar>
              <w:top w:w="12" w:type="dxa"/>
              <w:left w:w="12" w:type="dxa"/>
              <w:right w:w="12" w:type="dxa"/>
            </w:tcMar>
            <w:vAlign w:val="center"/>
          </w:tcPr>
          <w:p>
            <w:pPr>
              <w:spacing w:line="360" w:lineRule="exact"/>
              <w:jc w:val="center"/>
              <w:textAlignment w:val="center"/>
              <w:rPr>
                <w:rFonts w:hint="default" w:ascii="仿宋" w:hAnsi="仿宋" w:eastAsia="仿宋" w:cs="仿宋"/>
                <w:b/>
                <w:bCs/>
                <w:color w:val="000000"/>
                <w:sz w:val="22"/>
                <w:szCs w:val="22"/>
                <w:u w:val="none"/>
                <w:lang w:val="en-US" w:eastAsia="zh-CN"/>
              </w:rPr>
            </w:pPr>
            <w:r>
              <w:rPr>
                <w:rFonts w:hint="eastAsia" w:ascii="仿宋" w:hAnsi="仿宋" w:eastAsia="仿宋" w:cs="仿宋"/>
                <w:b/>
                <w:bCs/>
                <w:color w:val="000000"/>
                <w:sz w:val="22"/>
                <w:szCs w:val="22"/>
                <w:u w:val="none"/>
                <w:lang w:val="en-US" w:eastAsia="zh-CN"/>
              </w:rPr>
              <w:t>二级目录</w:t>
            </w:r>
          </w:p>
        </w:tc>
        <w:tc>
          <w:tcPr>
            <w:tcW w:w="1921" w:type="dxa"/>
            <w:tcMar>
              <w:top w:w="12" w:type="dxa"/>
              <w:left w:w="12" w:type="dxa"/>
              <w:right w:w="12" w:type="dxa"/>
            </w:tcMar>
            <w:vAlign w:val="center"/>
          </w:tcPr>
          <w:p>
            <w:pPr>
              <w:spacing w:line="360" w:lineRule="exact"/>
              <w:jc w:val="center"/>
              <w:textAlignment w:val="center"/>
              <w:rPr>
                <w:rFonts w:hint="default" w:ascii="仿宋" w:hAnsi="仿宋" w:eastAsia="仿宋" w:cs="仿宋"/>
                <w:b/>
                <w:bCs/>
                <w:color w:val="000000"/>
                <w:sz w:val="22"/>
                <w:szCs w:val="22"/>
                <w:u w:val="none"/>
                <w:lang w:val="en-US" w:eastAsia="zh-CN"/>
              </w:rPr>
            </w:pPr>
            <w:r>
              <w:rPr>
                <w:rFonts w:hint="eastAsia" w:ascii="仿宋" w:hAnsi="仿宋" w:eastAsia="仿宋" w:cs="仿宋"/>
                <w:b/>
                <w:bCs/>
                <w:color w:val="000000"/>
                <w:kern w:val="0"/>
                <w:sz w:val="22"/>
                <w:szCs w:val="22"/>
                <w:u w:val="none"/>
                <w:lang w:val="en-US" w:eastAsia="zh-CN" w:bidi="ar"/>
              </w:rPr>
              <w:t>三级目录</w:t>
            </w:r>
          </w:p>
        </w:tc>
        <w:tc>
          <w:tcPr>
            <w:tcW w:w="1635" w:type="dxa"/>
            <w:tcMar>
              <w:top w:w="12" w:type="dxa"/>
              <w:left w:w="12" w:type="dxa"/>
              <w:right w:w="12" w:type="dxa"/>
            </w:tcMar>
            <w:vAlign w:val="center"/>
          </w:tcPr>
          <w:p>
            <w:pPr>
              <w:spacing w:line="360" w:lineRule="exact"/>
              <w:jc w:val="center"/>
              <w:textAlignment w:val="center"/>
              <w:rPr>
                <w:rFonts w:hint="eastAsia" w:ascii="仿宋" w:hAnsi="仿宋" w:eastAsia="仿宋" w:cs="仿宋"/>
                <w:b/>
                <w:bCs/>
                <w:color w:val="000000"/>
                <w:kern w:val="0"/>
                <w:sz w:val="22"/>
                <w:szCs w:val="22"/>
                <w:u w:val="none"/>
                <w:lang w:bidi="ar"/>
              </w:rPr>
            </w:pPr>
            <w:r>
              <w:rPr>
                <w:rFonts w:hint="eastAsia" w:ascii="仿宋" w:hAnsi="仿宋" w:eastAsia="仿宋" w:cs="仿宋"/>
                <w:b/>
                <w:bCs/>
                <w:i w:val="0"/>
                <w:color w:val="000000"/>
                <w:kern w:val="0"/>
                <w:sz w:val="22"/>
                <w:szCs w:val="22"/>
                <w:u w:val="none"/>
                <w:lang w:val="en-US" w:eastAsia="zh-CN" w:bidi="ar"/>
              </w:rPr>
              <w:t>材质</w:t>
            </w:r>
          </w:p>
        </w:tc>
        <w:tc>
          <w:tcPr>
            <w:tcW w:w="1935" w:type="dxa"/>
            <w:tcMar>
              <w:top w:w="12" w:type="dxa"/>
              <w:left w:w="12" w:type="dxa"/>
              <w:right w:w="12" w:type="dxa"/>
            </w:tcMar>
            <w:vAlign w:val="center"/>
          </w:tcPr>
          <w:p>
            <w:pPr>
              <w:spacing w:line="360" w:lineRule="exact"/>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color w:val="000000"/>
                <w:kern w:val="0"/>
                <w:sz w:val="22"/>
                <w:szCs w:val="22"/>
                <w:u w:val="none"/>
                <w:lang w:val="en-US" w:eastAsia="zh-CN" w:bidi="ar"/>
              </w:rPr>
              <w:t>约定采购量（套）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086" w:type="dxa"/>
            <w:vMerge w:val="restart"/>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髓内钉及配件</w:t>
            </w:r>
          </w:p>
        </w:tc>
        <w:tc>
          <w:tcPr>
            <w:tcW w:w="1750"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sz w:val="22"/>
                <w:szCs w:val="22"/>
                <w:u w:val="none"/>
              </w:rPr>
            </w:pPr>
            <w:r>
              <w:rPr>
                <w:rFonts w:hint="eastAsia" w:ascii="仿宋_GB2312" w:hAnsi="仿宋_GB2312" w:eastAsia="仿宋_GB2312" w:cs="仿宋_GB2312"/>
                <w:color w:val="000000"/>
                <w:kern w:val="0"/>
                <w:sz w:val="22"/>
                <w:szCs w:val="22"/>
                <w:u w:val="none"/>
                <w:lang w:val="en-US" w:eastAsia="zh-CN" w:bidi="ar"/>
              </w:rPr>
              <w:t>股骨髓内钉</w:t>
            </w:r>
          </w:p>
        </w:tc>
        <w:tc>
          <w:tcPr>
            <w:tcW w:w="1921"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sz w:val="22"/>
                <w:szCs w:val="22"/>
                <w:u w:val="none"/>
              </w:rPr>
            </w:pPr>
            <w:r>
              <w:rPr>
                <w:rFonts w:hint="eastAsia" w:ascii="仿宋_GB2312" w:hAnsi="仿宋_GB2312" w:eastAsia="仿宋_GB2312" w:cs="仿宋_GB2312"/>
                <w:color w:val="000000"/>
                <w:kern w:val="0"/>
                <w:sz w:val="22"/>
                <w:szCs w:val="22"/>
                <w:u w:val="none"/>
                <w:lang w:val="en-US" w:eastAsia="zh-CN" w:bidi="ar"/>
              </w:rPr>
              <w:t>近端/</w:t>
            </w:r>
            <w:r>
              <w:rPr>
                <w:rFonts w:hint="eastAsia" w:ascii="仿宋_GB2312" w:hAnsi="仿宋_GB2312" w:eastAsia="仿宋_GB2312" w:cs="仿宋_GB2312"/>
                <w:color w:val="000000"/>
                <w:kern w:val="0"/>
                <w:sz w:val="22"/>
                <w:szCs w:val="22"/>
                <w:u w:val="none"/>
                <w:lang w:bidi="ar"/>
              </w:rPr>
              <w:t>干部/远端</w:t>
            </w:r>
          </w:p>
        </w:tc>
        <w:tc>
          <w:tcPr>
            <w:tcW w:w="1635"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935"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086" w:type="dxa"/>
            <w:vMerge w:val="continue"/>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p>
        </w:tc>
        <w:tc>
          <w:tcPr>
            <w:tcW w:w="1750"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sz w:val="22"/>
                <w:szCs w:val="22"/>
                <w:u w:val="none"/>
              </w:rPr>
            </w:pPr>
            <w:r>
              <w:rPr>
                <w:rFonts w:hint="eastAsia" w:ascii="仿宋_GB2312" w:hAnsi="仿宋_GB2312" w:eastAsia="仿宋_GB2312" w:cs="仿宋_GB2312"/>
                <w:color w:val="000000"/>
                <w:kern w:val="0"/>
                <w:sz w:val="22"/>
                <w:szCs w:val="22"/>
                <w:u w:val="none"/>
                <w:lang w:val="en-US" w:eastAsia="zh-CN" w:bidi="ar"/>
              </w:rPr>
              <w:t>胫骨髓内钉</w:t>
            </w:r>
          </w:p>
        </w:tc>
        <w:tc>
          <w:tcPr>
            <w:tcW w:w="1921"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sz w:val="22"/>
                <w:szCs w:val="22"/>
                <w:u w:val="none"/>
              </w:rPr>
            </w:pPr>
            <w:r>
              <w:rPr>
                <w:rFonts w:hint="eastAsia" w:ascii="仿宋_GB2312" w:hAnsi="仿宋_GB2312" w:eastAsia="仿宋_GB2312" w:cs="仿宋_GB2312"/>
                <w:color w:val="000000"/>
                <w:sz w:val="22"/>
                <w:szCs w:val="22"/>
                <w:u w:val="none"/>
              </w:rPr>
              <w:t>骨干/干骺端/远端</w:t>
            </w:r>
          </w:p>
        </w:tc>
        <w:tc>
          <w:tcPr>
            <w:tcW w:w="1635"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935"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086" w:type="dxa"/>
            <w:vMerge w:val="continue"/>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c>
          <w:tcPr>
            <w:tcW w:w="1750"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锁骨髓内钉</w:t>
            </w:r>
          </w:p>
        </w:tc>
        <w:tc>
          <w:tcPr>
            <w:tcW w:w="1921"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w:t>
            </w:r>
          </w:p>
        </w:tc>
        <w:tc>
          <w:tcPr>
            <w:tcW w:w="1635"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935"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086" w:type="dxa"/>
            <w:vMerge w:val="continue"/>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c>
          <w:tcPr>
            <w:tcW w:w="1750"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肱骨髓内钉</w:t>
            </w:r>
          </w:p>
        </w:tc>
        <w:tc>
          <w:tcPr>
            <w:tcW w:w="1921"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近端短型/近端长型/肱骨干</w:t>
            </w:r>
          </w:p>
        </w:tc>
        <w:tc>
          <w:tcPr>
            <w:tcW w:w="1635"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935"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086" w:type="dxa"/>
            <w:vMerge w:val="continue"/>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c>
          <w:tcPr>
            <w:tcW w:w="1750"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尺骨髓内钉</w:t>
            </w:r>
          </w:p>
        </w:tc>
        <w:tc>
          <w:tcPr>
            <w:tcW w:w="1921"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近端/骨干/远端</w:t>
            </w:r>
          </w:p>
        </w:tc>
        <w:tc>
          <w:tcPr>
            <w:tcW w:w="1635"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935"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086" w:type="dxa"/>
            <w:vMerge w:val="continue"/>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c>
          <w:tcPr>
            <w:tcW w:w="1750"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桡骨髓内钉</w:t>
            </w:r>
          </w:p>
        </w:tc>
        <w:tc>
          <w:tcPr>
            <w:tcW w:w="1921"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近端/骨干/远端</w:t>
            </w:r>
          </w:p>
        </w:tc>
        <w:tc>
          <w:tcPr>
            <w:tcW w:w="1635"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935"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086" w:type="dxa"/>
            <w:vMerge w:val="continue"/>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c>
          <w:tcPr>
            <w:tcW w:w="1750"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腓骨髓内钉</w:t>
            </w:r>
          </w:p>
        </w:tc>
        <w:tc>
          <w:tcPr>
            <w:tcW w:w="1921"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bidi="ar"/>
              </w:rPr>
            </w:pPr>
            <w:r>
              <w:rPr>
                <w:rFonts w:hint="eastAsia" w:ascii="仿宋_GB2312" w:hAnsi="仿宋_GB2312" w:eastAsia="仿宋_GB2312" w:cs="仿宋_GB2312"/>
                <w:color w:val="000000"/>
                <w:kern w:val="0"/>
                <w:sz w:val="22"/>
                <w:szCs w:val="22"/>
                <w:u w:val="none"/>
                <w:lang w:val="en-US" w:eastAsia="zh-CN" w:bidi="ar"/>
              </w:rPr>
              <w:t>/</w:t>
            </w:r>
          </w:p>
        </w:tc>
        <w:tc>
          <w:tcPr>
            <w:tcW w:w="1635"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935"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086" w:type="dxa"/>
            <w:vMerge w:val="continue"/>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c>
          <w:tcPr>
            <w:tcW w:w="1750"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足踝髓内钉</w:t>
            </w:r>
          </w:p>
        </w:tc>
        <w:tc>
          <w:tcPr>
            <w:tcW w:w="1921"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w:t>
            </w:r>
          </w:p>
        </w:tc>
        <w:tc>
          <w:tcPr>
            <w:tcW w:w="1635"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935"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086" w:type="dxa"/>
            <w:vMerge w:val="continue"/>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bidi="ar"/>
              </w:rPr>
            </w:pPr>
          </w:p>
        </w:tc>
        <w:tc>
          <w:tcPr>
            <w:tcW w:w="1750"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弹性髓内钉</w:t>
            </w:r>
          </w:p>
        </w:tc>
        <w:tc>
          <w:tcPr>
            <w:tcW w:w="1921"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sz w:val="22"/>
                <w:szCs w:val="22"/>
                <w:u w:val="none"/>
              </w:rPr>
            </w:pPr>
            <w:r>
              <w:rPr>
                <w:rFonts w:hint="eastAsia" w:ascii="仿宋_GB2312" w:hAnsi="仿宋_GB2312" w:eastAsia="仿宋_GB2312" w:cs="仿宋_GB2312"/>
                <w:color w:val="000000"/>
                <w:kern w:val="0"/>
                <w:sz w:val="22"/>
                <w:szCs w:val="22"/>
                <w:u w:val="none"/>
                <w:shd w:val="clear" w:color="auto" w:fill="auto"/>
                <w:lang w:val="en-US" w:eastAsia="zh-CN" w:bidi="ar"/>
              </w:rPr>
              <w:t>带尾帽/不带尾帽</w:t>
            </w:r>
          </w:p>
        </w:tc>
        <w:tc>
          <w:tcPr>
            <w:tcW w:w="1635" w:type="dxa"/>
            <w:tcMar>
              <w:top w:w="12" w:type="dxa"/>
              <w:left w:w="12" w:type="dxa"/>
              <w:right w:w="12" w:type="dxa"/>
            </w:tcMar>
            <w:vAlign w:val="center"/>
          </w:tcPr>
          <w:p>
            <w:pPr>
              <w:spacing w:line="350" w:lineRule="exact"/>
              <w:jc w:val="center"/>
              <w:textAlignment w:val="center"/>
              <w:rPr>
                <w:rFonts w:hint="eastAsia" w:ascii="仿宋_GB2312" w:hAnsi="仿宋_GB2312" w:eastAsia="仿宋_GB2312" w:cs="仿宋_GB2312"/>
                <w:color w:val="000000"/>
                <w:kern w:val="0"/>
                <w:sz w:val="22"/>
                <w:szCs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钛合金/纯钛/不锈钢</w:t>
            </w:r>
          </w:p>
        </w:tc>
        <w:tc>
          <w:tcPr>
            <w:tcW w:w="1935" w:type="dxa"/>
            <w:tcMar>
              <w:top w:w="12" w:type="dxa"/>
              <w:left w:w="12" w:type="dxa"/>
              <w:right w:w="12" w:type="dxa"/>
            </w:tcMar>
            <w:vAlign w:val="center"/>
          </w:tcPr>
          <w:p>
            <w:pPr>
              <w:spacing w:line="350" w:lineRule="exact"/>
              <w:jc w:val="center"/>
              <w:textAlignment w:val="center"/>
              <w:rPr>
                <w:rFonts w:hint="eastAsia" w:ascii="仿宋" w:hAnsi="仿宋" w:eastAsia="仿宋" w:cs="仿宋"/>
                <w:color w:val="000000"/>
                <w:kern w:val="0"/>
                <w:sz w:val="22"/>
                <w:szCs w:val="22"/>
                <w:u w:val="none"/>
                <w:lang w:val="en-US" w:eastAsia="zh-CN" w:bidi="ar"/>
              </w:rPr>
            </w:pPr>
          </w:p>
        </w:tc>
      </w:tr>
    </w:tbl>
    <w:p>
      <w:pPr>
        <w:pStyle w:val="2"/>
        <w:rPr>
          <w:rFonts w:hint="eastAsia" w:ascii="仿宋_GB2312" w:hAnsi="仿宋_GB2312" w:eastAsia="仿宋_GB2312" w:cs="仿宋_GB2312"/>
          <w:u w:val="none"/>
          <w:lang w:val="en-US" w:eastAsia="zh-CN"/>
        </w:rPr>
      </w:pPr>
      <w:r>
        <w:rPr>
          <w:rFonts w:hint="eastAsia" w:ascii="仿宋_GB2312" w:hAnsi="仿宋_GB2312" w:eastAsia="仿宋_GB2312" w:cs="仿宋_GB2312"/>
          <w:u w:val="none"/>
          <w:lang w:val="en-US" w:eastAsia="zh-CN"/>
        </w:rPr>
        <w:t>注：髓内钉与其配件组成系统，成套使用。企业须提供满足髓内钉临床使用的所有配件。</w:t>
      </w:r>
    </w:p>
    <w:p>
      <w:pPr>
        <w:pStyle w:val="2"/>
        <w:ind w:firstLine="640" w:firstLineChars="200"/>
        <w:rPr>
          <w:rFonts w:hint="default" w:ascii="仿宋_GB2312" w:hAnsi="仿宋_GB2312" w:eastAsia="仿宋_GB2312" w:cs="仿宋_GB2312"/>
          <w:sz w:val="32"/>
          <w:szCs w:val="32"/>
          <w:u w:val="none"/>
          <w:shd w:val="clear" w:color="auto" w:fill="auto"/>
          <w:lang w:val="en-US" w:eastAsia="zh-CN"/>
        </w:rPr>
      </w:pPr>
      <w:r>
        <w:rPr>
          <w:rFonts w:hint="eastAsia" w:ascii="仿宋_GB2312" w:hAnsi="仿宋_GB2312" w:eastAsia="仿宋_GB2312" w:cs="仿宋_GB2312"/>
          <w:sz w:val="32"/>
          <w:szCs w:val="32"/>
          <w:u w:val="none"/>
          <w:shd w:val="clear" w:color="auto" w:fill="auto"/>
          <w:lang w:val="en-US" w:eastAsia="zh-CN"/>
        </w:rPr>
        <w:t>中空螺钉（空心螺钉）不再单独划分，在投标规则和拟中选规则中另行制定。</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u w:val="none"/>
          <w:lang w:val="en-US" w:eastAsia="zh-CN"/>
        </w:rPr>
      </w:pPr>
      <w:r>
        <w:rPr>
          <w:rFonts w:hint="eastAsia" w:ascii="黑体" w:hAnsi="黑体" w:eastAsia="黑体" w:cs="黑体"/>
          <w:sz w:val="32"/>
          <w:szCs w:val="32"/>
          <w:u w:val="none"/>
          <w:lang w:val="en-US" w:eastAsia="zh-CN"/>
        </w:rPr>
        <w:t>二、</w:t>
      </w:r>
      <w:r>
        <w:rPr>
          <w:rFonts w:hint="eastAsia" w:ascii="黑体" w:hAnsi="黑体" w:eastAsia="黑体" w:cs="黑体"/>
          <w:color w:val="auto"/>
          <w:kern w:val="2"/>
          <w:sz w:val="32"/>
          <w:szCs w:val="32"/>
          <w:u w:val="none"/>
          <w:lang w:val="en-US" w:eastAsia="zh-CN" w:bidi="ar-SA"/>
        </w:rPr>
        <w:t>采购平台和采购周期</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此次联盟采购医疗机构需求量数据填报汇总、约定采购量确认等相关工作依托国家组织医用耗材联合采购平台。联盟采购企业申报、资质认定、相关通知公告等依托河南省医药采购平台进行，相关通知公告同步在联盟地区省级医药集中采购平台发布。</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采购周期自中选结果执行日起计算，原则上为12个月。到期后可根据采购和供应等实际情况延长采购期限，延长采购期限原则上为12个月。采购周期内医疗机构完成约定采购量后，超出约定采购量的部分，中选企业仍需按中选价格进行供应，直至采购周期届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u w:val="none"/>
          <w:lang w:val="en-US" w:eastAsia="zh-CN"/>
        </w:rPr>
      </w:pPr>
      <w:r>
        <w:rPr>
          <w:rFonts w:hint="eastAsia" w:ascii="黑体" w:hAnsi="黑体" w:eastAsia="黑体" w:cs="黑体"/>
          <w:color w:val="auto"/>
          <w:kern w:val="2"/>
          <w:sz w:val="32"/>
          <w:szCs w:val="32"/>
          <w:u w:val="none"/>
          <w:lang w:val="en-US" w:eastAsia="zh-CN" w:bidi="ar-SA"/>
        </w:rPr>
        <w:t>三、申报资格要求</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楷体_GB2312" w:hAnsi="楷体_GB2312" w:eastAsia="楷体_GB2312" w:cs="楷体_GB2312"/>
          <w:color w:val="auto"/>
          <w:kern w:val="0"/>
          <w:sz w:val="32"/>
          <w:szCs w:val="32"/>
          <w:u w:val="none"/>
          <w:lang w:val="en-US" w:eastAsia="zh-CN" w:bidi="ar-SA"/>
        </w:rPr>
      </w:pPr>
      <w:r>
        <w:rPr>
          <w:rFonts w:hint="eastAsia" w:ascii="楷体_GB2312" w:hAnsi="楷体_GB2312" w:eastAsia="楷体_GB2312" w:cs="楷体_GB2312"/>
          <w:color w:val="auto"/>
          <w:kern w:val="0"/>
          <w:sz w:val="32"/>
          <w:szCs w:val="32"/>
          <w:u w:val="none"/>
          <w:lang w:val="en-US" w:eastAsia="zh-CN" w:bidi="ar-SA"/>
        </w:rPr>
        <w:t>（一）申报企业资格要求</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取得接骨板及配套螺钉、髓内钉及配件、</w:t>
      </w:r>
      <w:r>
        <w:rPr>
          <w:rFonts w:hint="eastAsia" w:ascii="仿宋_GB2312" w:hAnsi="仿宋_GB2312" w:eastAsia="仿宋_GB2312" w:cs="仿宋_GB2312"/>
          <w:sz w:val="32"/>
          <w:szCs w:val="32"/>
          <w:u w:val="none"/>
          <w:shd w:val="clear" w:color="auto" w:fill="auto"/>
          <w:lang w:val="en-US" w:eastAsia="zh-CN"/>
        </w:rPr>
        <w:t>中空螺钉（空心螺钉</w:t>
      </w:r>
      <w:r>
        <w:rPr>
          <w:rFonts w:hint="eastAsia" w:ascii="仿宋_GB2312" w:hAnsi="仿宋_GB2312" w:eastAsia="仿宋_GB2312" w:cs="仿宋_GB2312"/>
          <w:color w:val="auto"/>
          <w:sz w:val="32"/>
          <w:szCs w:val="32"/>
          <w:u w:val="none"/>
          <w:shd w:val="clear" w:color="auto" w:fill="auto"/>
          <w:lang w:val="en-US" w:eastAsia="zh-CN"/>
        </w:rPr>
        <w:t>）产品生产资质的医疗器械注册人作为申报企业均可参加。进口医疗器械境外注册人在中华人民共和国境内设立的代表机构或者指定企业法人视同注册人(进口产品的授权经销期限必须覆盖整个采购周期)。同一医疗器械注册证的产品不得委托不同企业进行申报。</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楷体_GB2312" w:hAnsi="楷体_GB2312" w:eastAsia="楷体_GB2312" w:cs="楷体_GB2312"/>
          <w:color w:val="auto"/>
          <w:kern w:val="0"/>
          <w:sz w:val="32"/>
          <w:szCs w:val="32"/>
          <w:u w:val="none"/>
          <w:lang w:val="en-US" w:eastAsia="zh-CN" w:bidi="ar-SA"/>
        </w:rPr>
      </w:pPr>
      <w:r>
        <w:rPr>
          <w:rFonts w:hint="eastAsia" w:ascii="楷体_GB2312" w:hAnsi="楷体_GB2312" w:eastAsia="楷体_GB2312" w:cs="楷体_GB2312"/>
          <w:color w:val="auto"/>
          <w:kern w:val="0"/>
          <w:sz w:val="32"/>
          <w:szCs w:val="32"/>
          <w:u w:val="none"/>
          <w:lang w:val="en-US" w:eastAsia="zh-CN" w:bidi="ar-SA"/>
        </w:rPr>
        <w:t>（二）申报品种资格要求</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FFFFFF" w:fill="D9D9D9"/>
          <w:lang w:val="en-US" w:eastAsia="zh-CN"/>
        </w:rPr>
      </w:pPr>
      <w:r>
        <w:rPr>
          <w:rFonts w:hint="eastAsia" w:ascii="仿宋_GB2312" w:hAnsi="仿宋_GB2312" w:eastAsia="仿宋_GB2312" w:cs="仿宋_GB2312"/>
          <w:color w:val="auto"/>
          <w:sz w:val="32"/>
          <w:szCs w:val="32"/>
          <w:u w:val="none"/>
          <w:shd w:val="clear" w:color="auto" w:fill="auto"/>
          <w:lang w:val="en-US" w:eastAsia="zh-CN"/>
        </w:rPr>
        <w:t>属于采购品种目录范围且获得国家药品监督管理部门医疗器械注册批准的产品。</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楷体_GB2312" w:hAnsi="楷体_GB2312" w:eastAsia="楷体_GB2312" w:cs="楷体_GB2312"/>
          <w:color w:val="auto"/>
          <w:kern w:val="0"/>
          <w:sz w:val="32"/>
          <w:szCs w:val="32"/>
          <w:u w:val="none"/>
          <w:lang w:val="en-US" w:eastAsia="zh-CN" w:bidi="ar-SA"/>
        </w:rPr>
      </w:pPr>
      <w:r>
        <w:rPr>
          <w:rFonts w:hint="eastAsia" w:ascii="楷体_GB2312" w:hAnsi="楷体_GB2312" w:eastAsia="楷体_GB2312" w:cs="楷体_GB2312"/>
          <w:color w:val="auto"/>
          <w:kern w:val="0"/>
          <w:sz w:val="32"/>
          <w:szCs w:val="32"/>
          <w:u w:val="none"/>
          <w:lang w:val="en-US" w:eastAsia="zh-CN" w:bidi="ar-SA"/>
        </w:rPr>
        <w:t>（三）其他申报要求</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1.申报企业应遵守《中华人民共和国专利法》《中华人民共和国反垄断法》《中华人民共和国反不正当竞争法》等相关法律法规，并承担相关法律责任。</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2.申报产品应当符合国家有关部门的质量标准要求，并按国家有关部门要求组织生产。</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3.申报企业须确保在采购周期内满足采购地区的约定采购量需求。</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u w:val="none"/>
          <w:lang w:val="en-US" w:eastAsia="zh-CN"/>
        </w:rPr>
      </w:pPr>
      <w:r>
        <w:rPr>
          <w:rFonts w:hint="eastAsia" w:ascii="仿宋_GB2312" w:hAnsi="仿宋_GB2312" w:eastAsia="仿宋_GB2312" w:cs="仿宋_GB2312"/>
          <w:color w:val="auto"/>
          <w:sz w:val="32"/>
          <w:szCs w:val="32"/>
          <w:u w:val="none"/>
          <w:shd w:val="clear" w:color="auto" w:fill="auto"/>
          <w:lang w:val="en-US" w:eastAsia="zh-CN"/>
        </w:rPr>
        <w:t>4.申报企业须保持集中带量采购前后伴随服务供给的连续性，服务内容、质量、标准不得变化。伴随服务应至少包含物流配送、仓储管理，以及合规技术服务、配套工具等置入和取出手术必需的相关服务。企业在申报价格前，应与意向配送企业（技术服务企业）签订配送意向协议，明确各项伴随服务事项及费用。</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黑体" w:hAnsi="黑体" w:eastAsia="黑体" w:cs="黑体"/>
          <w:color w:val="auto"/>
          <w:kern w:val="2"/>
          <w:sz w:val="32"/>
          <w:szCs w:val="32"/>
          <w:u w:val="none"/>
          <w:lang w:val="en-US" w:eastAsia="zh-CN" w:bidi="ar-SA"/>
        </w:rPr>
      </w:pPr>
      <w:r>
        <w:rPr>
          <w:rFonts w:hint="eastAsia" w:ascii="黑体" w:hAnsi="黑体" w:eastAsia="黑体" w:cs="黑体"/>
          <w:color w:val="auto"/>
          <w:kern w:val="2"/>
          <w:sz w:val="32"/>
          <w:szCs w:val="32"/>
          <w:u w:val="none"/>
          <w:lang w:val="en-US" w:eastAsia="zh-CN" w:bidi="ar-SA"/>
        </w:rPr>
        <w:t>四、企业分组</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符合本次联盟采购要求的企业，每个采购包根据联盟地区各医疗机构报送的需求量，分为A、B两组。符合以下条件之一的企业列入A组：</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1.每个采购包内，各企业产品在联盟地区本</w:t>
      </w:r>
      <w:r>
        <w:rPr>
          <w:rFonts w:hint="eastAsia" w:ascii="仿宋_GB2312" w:hAnsi="仿宋_GB2312" w:eastAsia="仿宋_GB2312" w:cs="仿宋_GB2312"/>
          <w:sz w:val="32"/>
          <w:szCs w:val="32"/>
          <w:u w:val="none"/>
          <w:lang w:val="en-US" w:eastAsia="zh-CN"/>
        </w:rPr>
        <w:t>采购</w:t>
      </w:r>
      <w:r>
        <w:rPr>
          <w:rFonts w:hint="eastAsia" w:ascii="仿宋_GB2312" w:hAnsi="仿宋_GB2312" w:eastAsia="仿宋_GB2312" w:cs="仿宋_GB2312"/>
          <w:color w:val="auto"/>
          <w:sz w:val="32"/>
          <w:szCs w:val="32"/>
          <w:u w:val="none"/>
          <w:shd w:val="clear" w:color="auto" w:fill="auto"/>
          <w:lang w:val="en-US" w:eastAsia="zh-CN"/>
        </w:rPr>
        <w:t>包总需求量占比由高到低排序，需求量占比累计达到80%的；</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2.每个采购包内，企业产品在联盟地区之一的省（区、市）内所有医疗机构报送本</w:t>
      </w:r>
      <w:r>
        <w:rPr>
          <w:rFonts w:hint="eastAsia" w:ascii="仿宋_GB2312" w:hAnsi="仿宋_GB2312" w:eastAsia="仿宋_GB2312" w:cs="仿宋_GB2312"/>
          <w:sz w:val="32"/>
          <w:szCs w:val="32"/>
          <w:u w:val="none"/>
          <w:lang w:val="en-US" w:eastAsia="zh-CN"/>
        </w:rPr>
        <w:t>采购</w:t>
      </w:r>
      <w:r>
        <w:rPr>
          <w:rFonts w:hint="eastAsia" w:ascii="仿宋_GB2312" w:hAnsi="仿宋_GB2312" w:eastAsia="仿宋_GB2312" w:cs="仿宋_GB2312"/>
          <w:color w:val="auto"/>
          <w:sz w:val="32"/>
          <w:szCs w:val="32"/>
          <w:u w:val="none"/>
          <w:shd w:val="clear" w:color="auto" w:fill="auto"/>
          <w:lang w:val="en-US" w:eastAsia="zh-CN"/>
        </w:rPr>
        <w:t>包总需求量排名前5名的；</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3.每个采购包内，企业产品在联盟地区之一的省（区、市）内所有三级甲等医疗机构报送本</w:t>
      </w:r>
      <w:r>
        <w:rPr>
          <w:rFonts w:hint="eastAsia" w:ascii="仿宋_GB2312" w:hAnsi="仿宋_GB2312" w:eastAsia="仿宋_GB2312" w:cs="仿宋_GB2312"/>
          <w:sz w:val="32"/>
          <w:szCs w:val="32"/>
          <w:u w:val="none"/>
          <w:lang w:val="en-US" w:eastAsia="zh-CN"/>
        </w:rPr>
        <w:t>采购</w:t>
      </w:r>
      <w:r>
        <w:rPr>
          <w:rFonts w:hint="eastAsia" w:ascii="仿宋_GB2312" w:hAnsi="仿宋_GB2312" w:eastAsia="仿宋_GB2312" w:cs="仿宋_GB2312"/>
          <w:color w:val="auto"/>
          <w:sz w:val="32"/>
          <w:szCs w:val="32"/>
          <w:u w:val="none"/>
          <w:shd w:val="clear" w:color="auto" w:fill="auto"/>
          <w:lang w:val="en-US" w:eastAsia="zh-CN"/>
        </w:rPr>
        <w:t>包总需求量排名前5名的。</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其他企业列入B组。</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五、投标规则</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u w:val="none"/>
          <w:lang w:val="en-US" w:eastAsia="zh-CN"/>
        </w:rPr>
      </w:pPr>
      <w:r>
        <w:rPr>
          <w:rFonts w:hint="eastAsia" w:ascii="楷体_GB2312" w:hAnsi="楷体_GB2312" w:eastAsia="楷体_GB2312" w:cs="楷体_GB2312"/>
          <w:b w:val="0"/>
          <w:bCs w:val="0"/>
          <w:color w:val="auto"/>
          <w:sz w:val="32"/>
          <w:szCs w:val="32"/>
          <w:u w:val="none"/>
          <w:shd w:val="clear" w:color="auto" w:fill="auto"/>
          <w:lang w:val="en-US" w:eastAsia="zh-CN"/>
        </w:rPr>
        <w:t>（一）基准价。</w:t>
      </w:r>
      <w:r>
        <w:rPr>
          <w:rFonts w:hint="eastAsia" w:ascii="仿宋_GB2312" w:hAnsi="仿宋_GB2312" w:eastAsia="仿宋_GB2312" w:cs="仿宋_GB2312"/>
          <w:color w:val="auto"/>
          <w:sz w:val="32"/>
          <w:szCs w:val="32"/>
          <w:u w:val="none"/>
          <w:shd w:val="clear" w:color="auto" w:fill="auto"/>
          <w:lang w:val="en-US" w:eastAsia="zh-CN"/>
        </w:rPr>
        <w:t>各采购包二级目录产品参考2020年度河南省医药采购平台挂网交易数据，经专家论证拟定各采购包二级目录相关产品的基准价。</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各接骨板配套螺钉和中空螺钉（空心螺钉）基准价，参考2020年度河南省医药采购平台挂网交易数据，经专家论证拟定。</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楷体_GB2312" w:hAnsi="楷体_GB2312" w:eastAsia="楷体_GB2312" w:cs="楷体_GB2312"/>
          <w:b w:val="0"/>
          <w:bCs w:val="0"/>
          <w:color w:val="auto"/>
          <w:sz w:val="32"/>
          <w:szCs w:val="32"/>
          <w:u w:val="none"/>
          <w:shd w:val="clear" w:color="auto" w:fill="auto"/>
          <w:lang w:val="en-US" w:eastAsia="zh-CN"/>
        </w:rPr>
        <w:t>（二）代表品。</w:t>
      </w:r>
      <w:r>
        <w:rPr>
          <w:rFonts w:hint="eastAsia" w:ascii="仿宋_GB2312" w:hAnsi="仿宋_GB2312" w:eastAsia="仿宋_GB2312" w:cs="仿宋_GB2312"/>
          <w:color w:val="auto"/>
          <w:sz w:val="32"/>
          <w:szCs w:val="32"/>
          <w:u w:val="none"/>
          <w:shd w:val="clear" w:color="auto" w:fill="auto"/>
          <w:lang w:val="en-US" w:eastAsia="zh-CN"/>
        </w:rPr>
        <w:t>除接骨板配套螺钉及中空螺钉</w:t>
      </w:r>
      <w:r>
        <w:rPr>
          <w:rFonts w:hint="eastAsia" w:ascii="仿宋_GB2312" w:hAnsi="仿宋_GB2312" w:eastAsia="仿宋_GB2312" w:cs="仿宋_GB2312"/>
          <w:sz w:val="32"/>
          <w:szCs w:val="32"/>
          <w:u w:val="none"/>
          <w:shd w:val="clear" w:color="auto" w:fill="auto"/>
          <w:lang w:val="en-US" w:eastAsia="zh-CN"/>
        </w:rPr>
        <w:t>（空心螺钉</w:t>
      </w:r>
      <w:r>
        <w:rPr>
          <w:rFonts w:hint="eastAsia" w:ascii="仿宋_GB2312" w:hAnsi="仿宋_GB2312" w:eastAsia="仿宋_GB2312" w:cs="仿宋_GB2312"/>
          <w:color w:val="auto"/>
          <w:sz w:val="32"/>
          <w:szCs w:val="32"/>
          <w:u w:val="none"/>
          <w:shd w:val="clear" w:color="auto" w:fill="auto"/>
          <w:lang w:val="en-US" w:eastAsia="zh-CN"/>
        </w:rPr>
        <w:t>）外，每个采购包由投标企业按照代表品进行投标。</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代表品以联盟地区医疗机构填报需求的各采购包二级目录接骨板和髓内钉产品生产企业数和需求量排序确定。代表品材质须为钛合金或纯钛。无代表品的企业不得参与投标。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楷体_GB2312" w:hAnsi="楷体_GB2312" w:eastAsia="楷体_GB2312" w:cs="楷体_GB2312"/>
          <w:b w:val="0"/>
          <w:bCs w:val="0"/>
          <w:color w:val="auto"/>
          <w:sz w:val="32"/>
          <w:szCs w:val="32"/>
          <w:u w:val="none"/>
          <w:shd w:val="clear" w:color="auto" w:fill="auto"/>
          <w:lang w:val="en-US" w:eastAsia="zh-CN"/>
        </w:rPr>
        <w:t>（三）同时投标规则。</w:t>
      </w:r>
      <w:r>
        <w:rPr>
          <w:rFonts w:hint="eastAsia" w:ascii="仿宋_GB2312" w:hAnsi="仿宋_GB2312" w:eastAsia="仿宋_GB2312" w:cs="仿宋_GB2312"/>
          <w:color w:val="auto"/>
          <w:sz w:val="32"/>
          <w:szCs w:val="32"/>
          <w:u w:val="none"/>
          <w:shd w:val="clear" w:color="auto" w:fill="auto"/>
          <w:lang w:val="en-US" w:eastAsia="zh-CN"/>
        </w:rPr>
        <w:t>属于以下情况的，企业可同时投标。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shd w:val="clear" w:color="auto" w:fill="auto"/>
          <w:lang w:val="en-US" w:eastAsia="zh-CN"/>
        </w:rPr>
      </w:pPr>
      <w:r>
        <w:rPr>
          <w:rFonts w:hint="eastAsia" w:ascii="仿宋_GB2312" w:hAnsi="仿宋_GB2312" w:eastAsia="仿宋_GB2312" w:cs="仿宋_GB2312"/>
          <w:color w:val="auto"/>
          <w:sz w:val="32"/>
          <w:szCs w:val="32"/>
          <w:highlight w:val="none"/>
          <w:u w:val="none"/>
          <w:shd w:val="clear" w:color="auto" w:fill="auto"/>
          <w:lang w:val="en-US" w:eastAsia="zh-CN"/>
        </w:rPr>
        <w:t>1.一级目录内同一企业有不同注册证的；</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shd w:val="clear" w:color="auto" w:fill="auto"/>
          <w:lang w:val="en-US" w:eastAsia="zh-CN"/>
        </w:rPr>
      </w:pPr>
      <w:r>
        <w:rPr>
          <w:rFonts w:hint="eastAsia" w:ascii="仿宋_GB2312" w:hAnsi="仿宋_GB2312" w:eastAsia="仿宋_GB2312" w:cs="仿宋_GB2312"/>
          <w:color w:val="auto"/>
          <w:sz w:val="32"/>
          <w:szCs w:val="32"/>
          <w:highlight w:val="none"/>
          <w:u w:val="none"/>
          <w:shd w:val="clear" w:color="auto" w:fill="auto"/>
          <w:lang w:val="en-US" w:eastAsia="zh-CN"/>
        </w:rPr>
        <w:t>2.同一企业同一注册证有不同一级目录产品的;</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3.一级目录内同一企业同一注册证有不同二级目录产品的。</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黑体" w:hAnsi="黑体" w:eastAsia="黑体" w:cs="黑体"/>
          <w:color w:val="000000"/>
          <w:sz w:val="32"/>
          <w:szCs w:val="32"/>
          <w:highlight w:val="none"/>
          <w:u w:val="none"/>
          <w:lang w:val="en-US" w:eastAsia="zh-CN"/>
        </w:rPr>
      </w:pPr>
      <w:r>
        <w:rPr>
          <w:rFonts w:hint="eastAsia" w:ascii="黑体" w:hAnsi="黑体" w:eastAsia="黑体" w:cs="黑体"/>
          <w:sz w:val="32"/>
          <w:szCs w:val="32"/>
          <w:highlight w:val="none"/>
          <w:u w:val="none"/>
          <w:lang w:val="en-US" w:eastAsia="zh-CN"/>
        </w:rPr>
        <w:t>六、</w:t>
      </w:r>
      <w:r>
        <w:rPr>
          <w:rFonts w:hint="eastAsia" w:ascii="黑体" w:hAnsi="黑体" w:eastAsia="黑体" w:cs="黑体"/>
          <w:color w:val="000000"/>
          <w:sz w:val="32"/>
          <w:szCs w:val="32"/>
          <w:highlight w:val="none"/>
          <w:u w:val="none"/>
          <w:lang w:val="en-US" w:eastAsia="zh-CN"/>
        </w:rPr>
        <w:t>企业报价</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（一）企业申报价以人民币填报，单位为“元”，并四舍五入保留至小数点后2位。各采购包以最小使用单位为计价单位。</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（二）申报企业应在规定时间内进行价格信息申报。未在规定时间内完成或报价为零的，视为放弃报价。</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（三）申报价为申报企业的实际供应价，应包含税费、产品正常损耗、配套螺钉、配送和伴随服务等所有费用。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shadow w:val="0"/>
          <w:emboss w:val="0"/>
          <w:imprint w:val="0"/>
          <w:color w:val="auto"/>
          <w:sz w:val="32"/>
          <w:szCs w:val="32"/>
          <w:u w:val="none"/>
          <w:shd w:val="clear" w:color="auto" w:fill="auto"/>
          <w:lang w:val="en-US" w:eastAsia="zh-CN"/>
        </w:rPr>
        <w:t>申报价由产品价格和伴随服务价格两部分组成，实行分开申报，合并竞价。企业应综合考虑两部分价格后客观报价，伴随服务价格须明示各项费用。</w:t>
      </w:r>
      <w:r>
        <w:rPr>
          <w:rFonts w:hint="eastAsia" w:ascii="仿宋_GB2312" w:hAnsi="仿宋_GB2312" w:eastAsia="仿宋_GB2312" w:cs="仿宋_GB2312"/>
          <w:color w:val="auto"/>
          <w:sz w:val="32"/>
          <w:szCs w:val="32"/>
          <w:u w:val="none"/>
          <w:shd w:val="clear" w:color="auto" w:fill="auto"/>
          <w:lang w:val="en-US" w:eastAsia="zh-CN"/>
        </w:rPr>
        <w:t>拟中选</w:t>
      </w:r>
      <w:r>
        <w:rPr>
          <w:rFonts w:hint="eastAsia" w:ascii="仿宋_GB2312" w:hAnsi="仿宋_GB2312" w:eastAsia="仿宋_GB2312" w:cs="仿宋_GB2312"/>
          <w:shadow w:val="0"/>
          <w:emboss w:val="0"/>
          <w:imprint w:val="0"/>
          <w:color w:val="auto"/>
          <w:sz w:val="32"/>
          <w:szCs w:val="32"/>
          <w:u w:val="none"/>
          <w:shd w:val="clear" w:color="auto" w:fill="auto"/>
          <w:lang w:val="en-US" w:eastAsia="zh-CN"/>
        </w:rPr>
        <w:t>企业</w:t>
      </w:r>
      <w:r>
        <w:rPr>
          <w:rFonts w:hint="eastAsia" w:ascii="仿宋_GB2312" w:hAnsi="仿宋_GB2312" w:eastAsia="仿宋_GB2312" w:cs="仿宋_GB2312"/>
          <w:shadow w:val="0"/>
          <w:emboss w:val="0"/>
          <w:imprint w:val="0"/>
          <w:sz w:val="32"/>
          <w:szCs w:val="32"/>
          <w:u w:val="none"/>
        </w:rPr>
        <w:t>以</w:t>
      </w:r>
      <w:r>
        <w:rPr>
          <w:rFonts w:hint="eastAsia" w:ascii="仿宋_GB2312" w:hAnsi="仿宋_GB2312" w:eastAsia="仿宋_GB2312" w:cs="仿宋_GB2312"/>
          <w:sz w:val="32"/>
          <w:szCs w:val="32"/>
          <w:u w:val="none"/>
        </w:rPr>
        <w:t>低于成本价格恶意申报</w:t>
      </w:r>
      <w:r>
        <w:rPr>
          <w:rFonts w:hint="eastAsia" w:ascii="仿宋_GB2312" w:hAnsi="仿宋_GB2312" w:eastAsia="仿宋_GB2312" w:cs="仿宋_GB2312"/>
          <w:sz w:val="32"/>
          <w:szCs w:val="32"/>
          <w:u w:val="none"/>
          <w:lang w:val="en-US" w:eastAsia="zh-CN"/>
        </w:rPr>
        <w:t>的</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经核实后</w:t>
      </w:r>
      <w:r>
        <w:rPr>
          <w:rFonts w:hint="eastAsia" w:ascii="仿宋_GB2312" w:hAnsi="仿宋_GB2312" w:eastAsia="仿宋_GB2312" w:cs="仿宋_GB2312"/>
          <w:color w:val="auto"/>
          <w:sz w:val="32"/>
          <w:szCs w:val="32"/>
          <w:u w:val="none"/>
          <w:shd w:val="clear" w:color="auto" w:fill="auto"/>
          <w:lang w:val="en-US" w:eastAsia="zh-CN"/>
        </w:rPr>
        <w:t>取消拟中选资格；拟中选企业申报的伴随服务价格明显低于各企业平均水平的，经专家论证评估后，取消拟中选资格。</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（四）企业投标产品的申报价格，不得高于二级目录代表品基准价，且不得高于已开展集中带量采购的中选价格。</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黑体" w:hAnsi="黑体" w:eastAsia="黑体" w:cs="黑体"/>
          <w:color w:val="000000"/>
          <w:sz w:val="32"/>
          <w:szCs w:val="32"/>
          <w:u w:val="none"/>
          <w:lang w:val="en-US" w:eastAsia="zh-CN"/>
        </w:rPr>
      </w:pPr>
      <w:r>
        <w:rPr>
          <w:rFonts w:hint="eastAsia" w:ascii="黑体" w:hAnsi="黑体" w:eastAsia="黑体" w:cs="黑体"/>
          <w:color w:val="000000"/>
          <w:sz w:val="32"/>
          <w:szCs w:val="32"/>
          <w:u w:val="none"/>
          <w:lang w:val="en-US" w:eastAsia="zh-CN"/>
        </w:rPr>
        <w:t>七、拟中选规则</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楷体_GB2312" w:hAnsi="楷体_GB2312" w:eastAsia="楷体_GB2312" w:cs="楷体_GB2312"/>
          <w:color w:val="auto"/>
          <w:sz w:val="32"/>
          <w:szCs w:val="32"/>
          <w:u w:val="none"/>
          <w:shd w:val="clear" w:color="auto" w:fill="auto"/>
          <w:lang w:val="en-US" w:eastAsia="zh-CN"/>
        </w:rPr>
        <w:t>（一）竞价确定。</w:t>
      </w:r>
      <w:r>
        <w:rPr>
          <w:rFonts w:hint="eastAsia" w:ascii="仿宋_GB2312" w:hAnsi="仿宋_GB2312" w:eastAsia="仿宋_GB2312" w:cs="仿宋_GB2312"/>
          <w:color w:val="auto"/>
          <w:sz w:val="32"/>
          <w:szCs w:val="32"/>
          <w:u w:val="none"/>
          <w:shd w:val="clear" w:color="auto" w:fill="auto"/>
          <w:lang w:val="en-US" w:eastAsia="zh-CN"/>
        </w:rPr>
        <w:t>符合申报资格的实际申报企业数为3家及以上的，采取竞价的方式。企业在各自分组内进行报价，按照价格</w:t>
      </w:r>
      <w:r>
        <w:rPr>
          <w:rFonts w:hint="default" w:ascii="仿宋_GB2312" w:hAnsi="仿宋_GB2312" w:eastAsia="仿宋_GB2312" w:cs="仿宋_GB2312"/>
          <w:color w:val="auto"/>
          <w:sz w:val="32"/>
          <w:szCs w:val="32"/>
          <w:u w:val="none"/>
          <w:shd w:val="clear" w:color="auto" w:fill="auto"/>
          <w:lang w:val="en-US" w:eastAsia="zh-CN"/>
        </w:rPr>
        <w:t>由低到高确定拟中选</w:t>
      </w:r>
      <w:r>
        <w:rPr>
          <w:rFonts w:hint="eastAsia" w:ascii="仿宋_GB2312" w:hAnsi="仿宋_GB2312" w:eastAsia="仿宋_GB2312" w:cs="仿宋_GB2312"/>
          <w:color w:val="auto"/>
          <w:sz w:val="32"/>
          <w:szCs w:val="32"/>
          <w:u w:val="none"/>
          <w:shd w:val="clear" w:color="auto" w:fill="auto"/>
          <w:lang w:val="en-US" w:eastAsia="zh-CN"/>
        </w:rPr>
        <w:t>企业，A组中选率70%，B组中选率70%，拟中选企业数依据组内符合申报要求企业数量确定，并四舍五入保留整数。在最大拟中选企业数限额内，满足以下条件之一的方可获得拟中选资格。</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1.同竞价组同二级目录内代表品申报价格不高于最低申报价格1.8倍的产品。</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2.申报产品降幅大于50%（以二级目录基准价为基数进行计算）。降幅以百分比计，四舍五入后保留百分比小数点后2位。</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报价或降幅相同时，根据以下条件由高到低进行排序，确定拟中选资格及中选顺序。</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1.联盟地区医疗机构报送的总需求量。</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2.联盟地区三级甲等医疗机构需求量。</w:t>
      </w:r>
    </w:p>
    <w:p>
      <w:pPr>
        <w:pStyle w:val="2"/>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各采购包A组未中选企业中，代表品申报价格最低的，如确认不高于本组最低拟中选价格的，可获得复活拟中选资格。申报价格相同时，按照拟中选规则中的相关要求确定拟中选资格及中选顺序。</w:t>
      </w:r>
    </w:p>
    <w:p>
      <w:pPr>
        <w:pStyle w:val="2"/>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楷体_GB2312" w:hAnsi="楷体_GB2312" w:eastAsia="楷体_GB2312" w:cs="楷体_GB2312"/>
          <w:color w:val="auto"/>
          <w:sz w:val="32"/>
          <w:szCs w:val="32"/>
          <w:u w:val="none"/>
          <w:lang w:val="en-US" w:eastAsia="zh-CN"/>
        </w:rPr>
        <w:t>（二）议价谈判确定。</w:t>
      </w:r>
      <w:r>
        <w:rPr>
          <w:rFonts w:hint="eastAsia" w:ascii="仿宋_GB2312" w:hAnsi="仿宋_GB2312" w:eastAsia="仿宋_GB2312" w:cs="仿宋_GB2312"/>
          <w:color w:val="auto"/>
          <w:kern w:val="2"/>
          <w:sz w:val="32"/>
          <w:szCs w:val="32"/>
          <w:u w:val="none"/>
          <w:shd w:val="clear" w:color="auto" w:fill="auto"/>
          <w:lang w:val="en-US" w:eastAsia="zh-CN" w:bidi="ar-SA"/>
        </w:rPr>
        <w:t>符合申报资格的实际申报企业数为1家或2家的，参考同一包内其他组拟中选平均降幅，不小于该降幅的确定为拟中选产品；小于该降幅的，由专家参考该降幅进行谈判议价。</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楷体_GB2312" w:hAnsi="楷体_GB2312" w:eastAsia="楷体_GB2312" w:cs="楷体_GB2312"/>
          <w:color w:val="auto"/>
          <w:sz w:val="32"/>
          <w:szCs w:val="32"/>
          <w:u w:val="none"/>
          <w:shd w:val="clear" w:color="auto" w:fill="auto"/>
          <w:lang w:val="en-US" w:eastAsia="zh-CN"/>
        </w:rPr>
        <w:t>（三）拟中选价格。</w:t>
      </w:r>
      <w:r>
        <w:rPr>
          <w:rFonts w:hint="eastAsia" w:ascii="仿宋_GB2312" w:hAnsi="仿宋_GB2312" w:eastAsia="仿宋_GB2312" w:cs="仿宋_GB2312"/>
          <w:color w:val="auto"/>
          <w:sz w:val="32"/>
          <w:szCs w:val="32"/>
          <w:u w:val="none"/>
          <w:shd w:val="clear" w:color="auto" w:fill="auto"/>
          <w:lang w:val="en-US" w:eastAsia="zh-CN"/>
        </w:rPr>
        <w:t>各采购包拟中选企业产生后，拟中选企业代表品申报价格即为代表品拟中选价格。根据每个采购包代表品的基准价和代表品拟中选价格，计算拟中选企业各采购包拟中选降幅。拟中选企业申报的各采购包所有非代表品，根据各采购包各二级目录基准价和拟中选降幅确定各采购包所有非代表品拟中选价格，具体公式如下：</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非代表品拟中选价格=二级目录基准价×（1-本采购包拟中选降幅）。</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各采购包接骨板价格包含配套螺钉价格。临床需单独使用的接骨板配套螺钉的价格，根据其基准价和该包接骨板代表品降幅计算确定。</w:t>
      </w:r>
    </w:p>
    <w:p>
      <w:pPr>
        <w:pStyle w:val="2"/>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sz w:val="32"/>
          <w:szCs w:val="32"/>
          <w:u w:val="none"/>
          <w:shd w:val="clear" w:color="auto" w:fill="auto"/>
          <w:lang w:val="en-US" w:eastAsia="zh-CN"/>
        </w:rPr>
        <w:t>中空螺钉（空心螺钉）根据其基准价和拟中选企业接骨板代表品平均降幅计算确定中空螺钉中选价格。</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黑体" w:hAnsi="黑体" w:eastAsia="黑体" w:cs="黑体"/>
          <w:color w:val="auto"/>
          <w:kern w:val="2"/>
          <w:sz w:val="32"/>
          <w:szCs w:val="32"/>
          <w:u w:val="none"/>
          <w:shd w:val="clear" w:color="auto" w:fill="auto"/>
          <w:lang w:val="en-US" w:eastAsia="zh-CN" w:bidi="ar-SA"/>
        </w:rPr>
      </w:pPr>
      <w:r>
        <w:rPr>
          <w:rFonts w:hint="eastAsia" w:ascii="黑体" w:hAnsi="黑体" w:eastAsia="黑体" w:cs="黑体"/>
          <w:color w:val="auto"/>
          <w:kern w:val="2"/>
          <w:sz w:val="32"/>
          <w:szCs w:val="32"/>
          <w:u w:val="none"/>
          <w:shd w:val="clear" w:color="auto" w:fill="auto"/>
          <w:lang w:val="en-US" w:eastAsia="zh-CN" w:bidi="ar-SA"/>
        </w:rPr>
        <w:t>八、约定采购量分配</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集中采购结果执行周期内，按照各医疗机构填报的需求量，将中选产品约定采购量分配给对应中选企业。剩余约定采购量分配原则如下：</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一）如某医疗机构某采购包申报需求量中有A组或B组中代表品价格最低的中选企业，则该医疗机构该组剩余约定采购量的10%分配给价格最低的中选企业；其余约定采购量，可优先使用价格最低的中选企业产品，也可从所有中选企业产品中自主选择使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（二）如某医疗机构某采购包申报需求量中没有A组和B组中代表品价格最低的中选企业，则该医疗机构该组剩余约定采购量，可优先使用价格最低的中选企业产品，也可从所有中选企业产品中自主选择使用。</w:t>
      </w:r>
    </w:p>
    <w:p>
      <w:pPr>
        <w:pStyle w:val="2"/>
        <w:ind w:firstLine="640" w:firstLineChars="200"/>
        <w:rPr>
          <w:rFonts w:hint="eastAsia"/>
          <w:u w:val="none"/>
          <w:lang w:val="en-US" w:eastAsia="zh-CN"/>
        </w:rPr>
      </w:pPr>
      <w:r>
        <w:rPr>
          <w:rFonts w:hint="eastAsia" w:ascii="仿宋_GB2312" w:hAnsi="仿宋_GB2312" w:eastAsia="仿宋_GB2312" w:cs="仿宋_GB2312"/>
          <w:color w:val="auto"/>
          <w:sz w:val="32"/>
          <w:szCs w:val="32"/>
          <w:u w:val="none"/>
          <w:shd w:val="clear" w:color="auto" w:fill="auto"/>
          <w:lang w:val="en-US" w:eastAsia="zh-CN"/>
        </w:rPr>
        <w:t>复活拟中选企业不再分配约定采购量，可参与各采购包的剩余约定采购量分配，由医疗机构根据临床需求自主选择。</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黑体" w:hAnsi="黑体" w:eastAsia="黑体" w:cs="黑体"/>
          <w:color w:val="000000"/>
          <w:sz w:val="32"/>
          <w:szCs w:val="32"/>
          <w:u w:val="none"/>
          <w:lang w:val="en-US" w:eastAsia="zh-CN"/>
        </w:rPr>
      </w:pPr>
      <w:r>
        <w:rPr>
          <w:rFonts w:hint="eastAsia" w:ascii="黑体" w:hAnsi="黑体" w:eastAsia="黑体" w:cs="黑体"/>
          <w:color w:val="000000"/>
          <w:sz w:val="32"/>
          <w:szCs w:val="32"/>
          <w:u w:val="none"/>
          <w:lang w:val="en-US" w:eastAsia="zh-CN"/>
        </w:rPr>
        <w:t>九、价格执行</w:t>
      </w:r>
    </w:p>
    <w:p>
      <w:pPr>
        <w:pStyle w:val="2"/>
        <w:ind w:firstLine="640" w:firstLineChars="200"/>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b w:val="0"/>
          <w:bCs w:val="0"/>
          <w:color w:val="auto"/>
          <w:sz w:val="32"/>
          <w:szCs w:val="32"/>
          <w:u w:val="none"/>
          <w:shd w:val="clear" w:color="auto" w:fill="auto"/>
          <w:lang w:val="en-US" w:eastAsia="zh-CN"/>
        </w:rPr>
        <w:t>本次联盟采购钛合金、纯钛、不锈钢材质产品中选价格比价关系按1:1:0.8确定，</w:t>
      </w:r>
      <w:r>
        <w:rPr>
          <w:rFonts w:hint="eastAsia" w:ascii="仿宋_GB2312" w:hAnsi="仿宋_GB2312" w:eastAsia="仿宋_GB2312" w:cs="仿宋_GB2312"/>
          <w:color w:val="auto"/>
          <w:sz w:val="32"/>
          <w:szCs w:val="32"/>
          <w:u w:val="none"/>
          <w:shd w:val="clear" w:color="auto" w:fill="auto"/>
          <w:lang w:val="en-US" w:eastAsia="zh-CN"/>
        </w:rPr>
        <w:t>采购周期内，各中选企业须按照各产品中选价格统一供应十省（区、市）。</w:t>
      </w:r>
    </w:p>
    <w:p>
      <w:pPr>
        <w:pStyle w:val="2"/>
        <w:ind w:firstLine="640" w:firstLineChars="200"/>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各采购包内同一企业同二级目录供应清单的所有产品均按该二级目录中选价格供应。</w:t>
      </w:r>
    </w:p>
    <w:p>
      <w:pPr>
        <w:pStyle w:val="2"/>
        <w:ind w:firstLine="640" w:firstLineChars="200"/>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sz w:val="32"/>
          <w:szCs w:val="32"/>
          <w:u w:val="none"/>
          <w:shd w:val="clear" w:color="auto" w:fill="auto"/>
          <w:lang w:val="en-US" w:eastAsia="zh-CN"/>
        </w:rPr>
        <w:t>同一产品，如在国家组织带量采购中形成新的低价，其中选价格生效以后，本次采购尚未执行的采购量，按国家中选价格执行。</w:t>
      </w:r>
    </w:p>
    <w:p>
      <w:pPr>
        <w:pStyle w:val="2"/>
        <w:ind w:firstLine="640" w:firstLineChars="200"/>
        <w:rPr>
          <w:rFonts w:hint="eastAsia" w:ascii="黑体" w:hAnsi="黑体" w:eastAsia="黑体" w:cs="黑体"/>
          <w:color w:val="auto"/>
          <w:sz w:val="32"/>
          <w:szCs w:val="32"/>
          <w:u w:val="none"/>
          <w:shd w:val="clear" w:color="auto" w:fill="auto"/>
          <w:lang w:val="en-US" w:eastAsia="zh-CN"/>
        </w:rPr>
      </w:pPr>
      <w:r>
        <w:rPr>
          <w:rFonts w:hint="eastAsia" w:ascii="黑体" w:hAnsi="黑体" w:eastAsia="黑体" w:cs="黑体"/>
          <w:color w:val="auto"/>
          <w:sz w:val="32"/>
          <w:szCs w:val="32"/>
          <w:u w:val="none"/>
          <w:shd w:val="clear" w:color="auto" w:fill="auto"/>
          <w:lang w:val="en-US" w:eastAsia="zh-CN"/>
        </w:rPr>
        <w:t>十、配套政策</w:t>
      </w:r>
    </w:p>
    <w:p>
      <w:pPr>
        <w:pStyle w:val="2"/>
        <w:ind w:firstLine="640" w:firstLineChars="200"/>
        <w:jc w:val="both"/>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医疗机构填报的需求量，按照各采购包进行考核。本包内，同一企业二级目录下各中选产品约定采购量可根据临床需求进行相互调剂。</w:t>
      </w:r>
    </w:p>
    <w:p>
      <w:pPr>
        <w:pStyle w:val="2"/>
        <w:ind w:firstLine="640" w:firstLineChars="200"/>
        <w:jc w:val="both"/>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医疗机构开展骨科创伤类手术产生的消毒费已包含在医疗服务价格中，医疗机构不得再次收取消毒费用。相关骨科医疗服务价格明显偏低的，经评估后可以调整相关医疗服务价格。</w:t>
      </w:r>
    </w:p>
    <w:p>
      <w:pPr>
        <w:pStyle w:val="2"/>
        <w:ind w:firstLine="640" w:firstLineChars="200"/>
        <w:jc w:val="both"/>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中选企业供应中选产品和功能属性相同的未中选产品时，伴随服务费用应保持一致。中选企业应在中选后3个月内，根据联盟地区手术台数，按照1：50比例准备相关配套手术工具。</w:t>
      </w:r>
    </w:p>
    <w:p>
      <w:pPr>
        <w:pStyle w:val="2"/>
        <w:ind w:firstLine="640" w:firstLineChars="200"/>
        <w:jc w:val="both"/>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医疗机构使用此次集中带量采购中选产品开展骨科创伤类手术的，按照中选产品价格收费。医疗机构与生产企业或配送企业结算时，根据双方提供的服务项目和企业所申报的报价标准进行结算。</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C+AKSxgEAAGsDAAAOAAAAAAAAAAEAIAAAAB4BAABkcnMvZTJvRG9jLnht&#10;bFBLBQYAAAAABgAGAFkBAABWBQ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2D"/>
    <w:rsid w:val="00373B2D"/>
    <w:rsid w:val="01221E7A"/>
    <w:rsid w:val="01F253B6"/>
    <w:rsid w:val="02170387"/>
    <w:rsid w:val="02BC3EEF"/>
    <w:rsid w:val="02E81841"/>
    <w:rsid w:val="034C12A2"/>
    <w:rsid w:val="0379643C"/>
    <w:rsid w:val="03B711E7"/>
    <w:rsid w:val="0480093E"/>
    <w:rsid w:val="048014C3"/>
    <w:rsid w:val="04F73677"/>
    <w:rsid w:val="05152409"/>
    <w:rsid w:val="05E110B3"/>
    <w:rsid w:val="072C4410"/>
    <w:rsid w:val="07BC24D6"/>
    <w:rsid w:val="07F372F6"/>
    <w:rsid w:val="08F80FF5"/>
    <w:rsid w:val="09041B4D"/>
    <w:rsid w:val="091C0FA1"/>
    <w:rsid w:val="092A42E7"/>
    <w:rsid w:val="094469C5"/>
    <w:rsid w:val="099C1996"/>
    <w:rsid w:val="0A2D0946"/>
    <w:rsid w:val="0A6C1D17"/>
    <w:rsid w:val="0A703378"/>
    <w:rsid w:val="0A7E1741"/>
    <w:rsid w:val="0B087167"/>
    <w:rsid w:val="0B1D6FEF"/>
    <w:rsid w:val="0BA53E75"/>
    <w:rsid w:val="0C171C2A"/>
    <w:rsid w:val="0D8F3444"/>
    <w:rsid w:val="0E093B99"/>
    <w:rsid w:val="0E0C6F9C"/>
    <w:rsid w:val="0F1335B6"/>
    <w:rsid w:val="0F1B630B"/>
    <w:rsid w:val="0FBB2446"/>
    <w:rsid w:val="10342396"/>
    <w:rsid w:val="109C028F"/>
    <w:rsid w:val="111C6BC2"/>
    <w:rsid w:val="124B5750"/>
    <w:rsid w:val="12A62632"/>
    <w:rsid w:val="12E71EBF"/>
    <w:rsid w:val="132D6FBA"/>
    <w:rsid w:val="13344CBB"/>
    <w:rsid w:val="138E31D6"/>
    <w:rsid w:val="14423BA3"/>
    <w:rsid w:val="1482211F"/>
    <w:rsid w:val="151A57A2"/>
    <w:rsid w:val="15C76EFA"/>
    <w:rsid w:val="160D01B3"/>
    <w:rsid w:val="16673A5B"/>
    <w:rsid w:val="16927A89"/>
    <w:rsid w:val="169342EF"/>
    <w:rsid w:val="17675445"/>
    <w:rsid w:val="180C0BC9"/>
    <w:rsid w:val="181F0891"/>
    <w:rsid w:val="19B3097A"/>
    <w:rsid w:val="19C107D8"/>
    <w:rsid w:val="1A431948"/>
    <w:rsid w:val="1A6E57EE"/>
    <w:rsid w:val="1A7F397D"/>
    <w:rsid w:val="1AA95B8E"/>
    <w:rsid w:val="1B0E0B9B"/>
    <w:rsid w:val="1B6B7258"/>
    <w:rsid w:val="1C387A50"/>
    <w:rsid w:val="1C655E59"/>
    <w:rsid w:val="1C743F44"/>
    <w:rsid w:val="1CDB4217"/>
    <w:rsid w:val="1D1A0403"/>
    <w:rsid w:val="1DC04C9D"/>
    <w:rsid w:val="1DC711D0"/>
    <w:rsid w:val="1E0520D2"/>
    <w:rsid w:val="1EC76ED3"/>
    <w:rsid w:val="1EE41CCC"/>
    <w:rsid w:val="1F2E5066"/>
    <w:rsid w:val="1F7C4F8D"/>
    <w:rsid w:val="1F8F7D1C"/>
    <w:rsid w:val="1FD423ED"/>
    <w:rsid w:val="20B22E73"/>
    <w:rsid w:val="21937200"/>
    <w:rsid w:val="219E22B5"/>
    <w:rsid w:val="21B425B7"/>
    <w:rsid w:val="22D700DB"/>
    <w:rsid w:val="22DB6D75"/>
    <w:rsid w:val="247E03B8"/>
    <w:rsid w:val="2587408E"/>
    <w:rsid w:val="26A67A8E"/>
    <w:rsid w:val="26FA402A"/>
    <w:rsid w:val="2749715D"/>
    <w:rsid w:val="27744204"/>
    <w:rsid w:val="27F16887"/>
    <w:rsid w:val="28BE21D6"/>
    <w:rsid w:val="28C21F42"/>
    <w:rsid w:val="29BD069B"/>
    <w:rsid w:val="2AA63CE8"/>
    <w:rsid w:val="2C844BE7"/>
    <w:rsid w:val="2C9F7732"/>
    <w:rsid w:val="2CBA0A20"/>
    <w:rsid w:val="2EB6C02B"/>
    <w:rsid w:val="2EBA772E"/>
    <w:rsid w:val="2F074610"/>
    <w:rsid w:val="3014756B"/>
    <w:rsid w:val="30A74C9F"/>
    <w:rsid w:val="313E75FA"/>
    <w:rsid w:val="33177113"/>
    <w:rsid w:val="34145DD2"/>
    <w:rsid w:val="34292806"/>
    <w:rsid w:val="35971903"/>
    <w:rsid w:val="35AC6E55"/>
    <w:rsid w:val="35FF3D76"/>
    <w:rsid w:val="36103030"/>
    <w:rsid w:val="36674310"/>
    <w:rsid w:val="38171E91"/>
    <w:rsid w:val="38541219"/>
    <w:rsid w:val="38594BF8"/>
    <w:rsid w:val="386D2E94"/>
    <w:rsid w:val="394444F4"/>
    <w:rsid w:val="397045D6"/>
    <w:rsid w:val="39812BB2"/>
    <w:rsid w:val="39DDEFB6"/>
    <w:rsid w:val="3ABF1A30"/>
    <w:rsid w:val="3C121A2F"/>
    <w:rsid w:val="3CC347EF"/>
    <w:rsid w:val="3DB817B7"/>
    <w:rsid w:val="3FD63671"/>
    <w:rsid w:val="405327C8"/>
    <w:rsid w:val="40B12F4A"/>
    <w:rsid w:val="40E22BBB"/>
    <w:rsid w:val="410114CB"/>
    <w:rsid w:val="413A0730"/>
    <w:rsid w:val="41AD19F4"/>
    <w:rsid w:val="41E175C1"/>
    <w:rsid w:val="41E2318C"/>
    <w:rsid w:val="427328D6"/>
    <w:rsid w:val="42C13897"/>
    <w:rsid w:val="43076790"/>
    <w:rsid w:val="460B2B89"/>
    <w:rsid w:val="466B63F3"/>
    <w:rsid w:val="468F4C8D"/>
    <w:rsid w:val="46C355D4"/>
    <w:rsid w:val="46DF7CAF"/>
    <w:rsid w:val="46F64B0C"/>
    <w:rsid w:val="47740E8B"/>
    <w:rsid w:val="485664FB"/>
    <w:rsid w:val="48AB2700"/>
    <w:rsid w:val="49747C11"/>
    <w:rsid w:val="49A82B2F"/>
    <w:rsid w:val="4C383578"/>
    <w:rsid w:val="4C511FDF"/>
    <w:rsid w:val="4D0E29B0"/>
    <w:rsid w:val="4E1417BC"/>
    <w:rsid w:val="4EFD315D"/>
    <w:rsid w:val="4FEA3A8C"/>
    <w:rsid w:val="50844D77"/>
    <w:rsid w:val="50A11435"/>
    <w:rsid w:val="50E32D61"/>
    <w:rsid w:val="51256BB4"/>
    <w:rsid w:val="5143005B"/>
    <w:rsid w:val="517C4460"/>
    <w:rsid w:val="51EE078A"/>
    <w:rsid w:val="51F62D3F"/>
    <w:rsid w:val="538435C2"/>
    <w:rsid w:val="53B934D9"/>
    <w:rsid w:val="53BB5308"/>
    <w:rsid w:val="53EB4A69"/>
    <w:rsid w:val="5475649E"/>
    <w:rsid w:val="54F945B5"/>
    <w:rsid w:val="54FC3565"/>
    <w:rsid w:val="554B66F1"/>
    <w:rsid w:val="55D42DFB"/>
    <w:rsid w:val="56295C89"/>
    <w:rsid w:val="56A2691A"/>
    <w:rsid w:val="58104581"/>
    <w:rsid w:val="58C1456A"/>
    <w:rsid w:val="58DA54B1"/>
    <w:rsid w:val="598555F9"/>
    <w:rsid w:val="59A50A60"/>
    <w:rsid w:val="59F70268"/>
    <w:rsid w:val="5A2F3F13"/>
    <w:rsid w:val="5AF640E1"/>
    <w:rsid w:val="5B3D100B"/>
    <w:rsid w:val="5B4D5172"/>
    <w:rsid w:val="5B8B1EC1"/>
    <w:rsid w:val="5B9451B2"/>
    <w:rsid w:val="5BB5749E"/>
    <w:rsid w:val="5BFF2221"/>
    <w:rsid w:val="5CEE70C4"/>
    <w:rsid w:val="5D204A36"/>
    <w:rsid w:val="5D920333"/>
    <w:rsid w:val="5DB9333D"/>
    <w:rsid w:val="5E8506E6"/>
    <w:rsid w:val="5EA53BE9"/>
    <w:rsid w:val="5EB74584"/>
    <w:rsid w:val="5FB41F51"/>
    <w:rsid w:val="5FFFDDDB"/>
    <w:rsid w:val="60541995"/>
    <w:rsid w:val="60AC5745"/>
    <w:rsid w:val="61816D0A"/>
    <w:rsid w:val="61A7330C"/>
    <w:rsid w:val="61E174B9"/>
    <w:rsid w:val="623A6AF3"/>
    <w:rsid w:val="62EB43A2"/>
    <w:rsid w:val="63115028"/>
    <w:rsid w:val="636C1F8E"/>
    <w:rsid w:val="63CD7DFA"/>
    <w:rsid w:val="65AF30E1"/>
    <w:rsid w:val="65E65950"/>
    <w:rsid w:val="660F1A11"/>
    <w:rsid w:val="66C7574C"/>
    <w:rsid w:val="6839303E"/>
    <w:rsid w:val="68FD744E"/>
    <w:rsid w:val="691667C3"/>
    <w:rsid w:val="69767D95"/>
    <w:rsid w:val="69851D8F"/>
    <w:rsid w:val="6A6A5839"/>
    <w:rsid w:val="6AF95E10"/>
    <w:rsid w:val="6B041712"/>
    <w:rsid w:val="6C6742CB"/>
    <w:rsid w:val="6C9617C9"/>
    <w:rsid w:val="6C9B5D5F"/>
    <w:rsid w:val="6D5346C2"/>
    <w:rsid w:val="6D874669"/>
    <w:rsid w:val="6E2373A3"/>
    <w:rsid w:val="6E765C8A"/>
    <w:rsid w:val="6F255F6F"/>
    <w:rsid w:val="6FDD3925"/>
    <w:rsid w:val="706407CC"/>
    <w:rsid w:val="70D05111"/>
    <w:rsid w:val="7128427D"/>
    <w:rsid w:val="71574BC6"/>
    <w:rsid w:val="722507F6"/>
    <w:rsid w:val="72B72F3A"/>
    <w:rsid w:val="72B91200"/>
    <w:rsid w:val="72DD1FC4"/>
    <w:rsid w:val="72DE0E49"/>
    <w:rsid w:val="73CE158C"/>
    <w:rsid w:val="73E273F5"/>
    <w:rsid w:val="757FF060"/>
    <w:rsid w:val="75C35531"/>
    <w:rsid w:val="769E1CC8"/>
    <w:rsid w:val="76D13801"/>
    <w:rsid w:val="77FB56CD"/>
    <w:rsid w:val="786769FA"/>
    <w:rsid w:val="786E48C6"/>
    <w:rsid w:val="78D85A0C"/>
    <w:rsid w:val="79FB16B2"/>
    <w:rsid w:val="7B450006"/>
    <w:rsid w:val="7B6E6A18"/>
    <w:rsid w:val="7BDD0AF8"/>
    <w:rsid w:val="7CB64DA8"/>
    <w:rsid w:val="7D146A31"/>
    <w:rsid w:val="7D40468C"/>
    <w:rsid w:val="7D5225F6"/>
    <w:rsid w:val="7DE74F9C"/>
    <w:rsid w:val="7DEB524D"/>
    <w:rsid w:val="7E9635B3"/>
    <w:rsid w:val="7FFB7E9F"/>
    <w:rsid w:val="BEF2CA1B"/>
    <w:rsid w:val="C4289259"/>
    <w:rsid w:val="CFBDF2C0"/>
    <w:rsid w:val="DA374E37"/>
    <w:rsid w:val="DFD685FF"/>
    <w:rsid w:val="E9F5B501"/>
    <w:rsid w:val="FBFDDA30"/>
    <w:rsid w:val="FE3D9DB6"/>
    <w:rsid w:val="FF5D46D7"/>
    <w:rsid w:val="FF6F6E15"/>
    <w:rsid w:val="FFF7AA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9">
    <w:name w:val="Normal Table"/>
    <w:semiHidden/>
    <w:uiPriority w:val="0"/>
    <w:tblPr>
      <w:tblStyle w:val="9"/>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方正仿宋简体" w:hAnsi="方正仿宋简体" w:eastAsia="方正仿宋简体" w:cs="方正仿宋简体"/>
      <w:color w:val="000000"/>
      <w:sz w:val="24"/>
      <w:szCs w:val="24"/>
      <w:lang w:val="en-US" w:eastAsia="zh-CN" w:bidi="ar-SA"/>
    </w:rPr>
  </w:style>
  <w:style w:type="paragraph" w:styleId="3">
    <w:name w:val="index 5"/>
    <w:basedOn w:val="1"/>
    <w:next w:val="1"/>
    <w:qFormat/>
    <w:uiPriority w:val="99"/>
    <w:pPr>
      <w:ind w:left="1680"/>
    </w:pPr>
  </w:style>
  <w:style w:type="paragraph" w:styleId="4">
    <w:name w:val="Body Text"/>
    <w:basedOn w:val="1"/>
    <w:qFormat/>
    <w:uiPriority w:val="1"/>
    <w:rPr>
      <w:rFonts w:ascii="宋体" w:hAnsi="宋体" w:eastAsia="宋体" w:cs="宋体"/>
      <w:sz w:val="34"/>
      <w:szCs w:val="34"/>
      <w:lang w:val="zh-CN" w:eastAsia="zh-CN" w:bidi="zh-CN"/>
    </w:rPr>
  </w:style>
  <w:style w:type="paragraph" w:styleId="5">
    <w:name w:val="footer"/>
    <w:basedOn w:val="1"/>
    <w:next w:val="3"/>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19.6666666666667</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2021-03-08T16:44:00Z</dcterms:created>
  <dc:creator>Administrator</dc:creator>
  <cp:lastModifiedBy>失之东隅收之桑榆</cp:lastModifiedBy>
  <cp:lastPrinted>2021-05-09T01:48:53Z</cp:lastPrinted>
  <dcterms:modified xsi:type="dcterms:W3CDTF">2021-05-12T08:52:39Z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F3030ECF41864D1AA40572EC56F403A2</vt:lpwstr>
  </property>
</Properties>
</file>